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17392.xml.htm"/>
      <w:bookmarkStart w:id="1" w:name="kswkform4_17914173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Tsao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BILLIONTOONE,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BillionToOne, Inc.</w:t>
              </w:r>
            </w:hyperlink>
            <w:r>
              <w:rPr/>
              <w:t xml:space="preserve"> [ </w:t>
            </w:r>
            <w:r>
              <w:rPr>
                <w:rFonts w:ascii="Times;serif" w:hAnsi="Times;serif"/>
                <w:color w:val="0000FF"/>
                <w:sz w:val="24"/>
                <w:shd w:fill="FFFFFF" w:val="clear"/>
              </w:rPr>
              <w:t>BLLN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105.9004</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20,134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107.195</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108.393</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109.0031</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110.08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105.5587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106.1038</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107.4705</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108.5342</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109.1445</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110.09</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546,667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536,667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$105.505 to $106.350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$106.730 to $107.700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$107.7354 to $108.710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$108.740 to $109.480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$104.880 to $105.720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$105.890 to $106.180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$107.010 to $107.970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$108.040 to $109.030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$109.040 to $109.500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Lynch,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7127" TargetMode="External"/><Relationship Id="rId5" Type="http://schemas.openxmlformats.org/officeDocument/2006/relationships/hyperlink" Target="http://www.sec.gov/cgi-bin/browse-edgar?action=getcompany&amp;CIK=0002070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1285</Words>
  <Characters>6763</Characters>
  <CharactersWithSpaces>7849</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