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20" w:hanging="394"/>
        <w:spacing w:after="0" w:line="216" w:lineRule="auto"/>
        <w:tabs>
          <w:tab w:leader="none" w:pos="420" w:val="left"/>
        </w:tabs>
        <w:numPr>
          <w:ilvl w:val="0"/>
          <w:numId w:val="1"/>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20" w:hanging="394"/>
        <w:spacing w:after="0"/>
        <w:tabs>
          <w:tab w:leader="none" w:pos="420" w:val="left"/>
        </w:tabs>
        <w:numPr>
          <w:ilvl w:val="0"/>
          <w:numId w:val="2"/>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001-42934</w:t>
      </w:r>
    </w:p>
    <w:p>
      <w:pPr>
        <w:spacing w:after="0" w:line="6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BillionToOne,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247"/>
        </w:trPr>
        <w:tc>
          <w:tcPr>
            <w:tcW w:w="6060" w:type="dxa"/>
            <w:vAlign w:val="bottom"/>
          </w:tcPr>
          <w:p>
            <w:pPr>
              <w:jc w:val="center"/>
              <w:ind w:right="1330"/>
              <w:spacing w:after="0"/>
              <w:rPr>
                <w:sz w:val="20"/>
                <w:szCs w:val="20"/>
                <w:color w:val="auto"/>
              </w:rPr>
            </w:pPr>
            <w:r>
              <w:rPr>
                <w:rFonts w:ascii="Arial" w:cs="Arial" w:eastAsia="Arial" w:hAnsi="Arial"/>
                <w:sz w:val="18"/>
                <w:szCs w:val="18"/>
                <w:b w:val="1"/>
                <w:bCs w:val="1"/>
                <w:color w:val="auto"/>
              </w:rPr>
              <w:t>Delaware</w:t>
            </w:r>
          </w:p>
        </w:tc>
        <w:tc>
          <w:tcPr>
            <w:tcW w:w="4180" w:type="dxa"/>
            <w:vAlign w:val="bottom"/>
          </w:tcPr>
          <w:p>
            <w:pPr>
              <w:jc w:val="right"/>
              <w:ind w:right="810"/>
              <w:spacing w:after="0"/>
              <w:rPr>
                <w:sz w:val="20"/>
                <w:szCs w:val="20"/>
                <w:color w:val="auto"/>
              </w:rPr>
            </w:pPr>
            <w:r>
              <w:rPr>
                <w:rFonts w:ascii="Arial" w:cs="Arial" w:eastAsia="Arial" w:hAnsi="Arial"/>
                <w:sz w:val="18"/>
                <w:szCs w:val="18"/>
                <w:b w:val="1"/>
                <w:bCs w:val="1"/>
                <w:color w:val="auto"/>
              </w:rPr>
              <w:t>81-1082020</w:t>
            </w:r>
          </w:p>
        </w:tc>
      </w:tr>
      <w:tr>
        <w:trPr>
          <w:trHeight w:val="303"/>
        </w:trPr>
        <w:tc>
          <w:tcPr>
            <w:tcW w:w="6060" w:type="dxa"/>
            <w:vAlign w:val="bottom"/>
          </w:tcPr>
          <w:p>
            <w:pPr>
              <w:jc w:val="center"/>
              <w:ind w:right="133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80" w:type="dxa"/>
            <w:vAlign w:val="bottom"/>
          </w:tcPr>
          <w:p>
            <w:pPr>
              <w:jc w:val="center"/>
              <w:ind w:left="131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6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9"/>
              </w:rPr>
              <w:t>1035 O’Brien Drive</w:t>
            </w:r>
          </w:p>
        </w:tc>
        <w:tc>
          <w:tcPr>
            <w:tcW w:w="4180" w:type="dxa"/>
            <w:vAlign w:val="bottom"/>
          </w:tcPr>
          <w:p>
            <w:pPr>
              <w:spacing w:after="0"/>
              <w:rPr>
                <w:sz w:val="24"/>
                <w:szCs w:val="24"/>
                <w:color w:val="auto"/>
              </w:rPr>
            </w:pPr>
          </w:p>
        </w:tc>
      </w:tr>
      <w:tr>
        <w:trPr>
          <w:trHeight w:val="270"/>
        </w:trPr>
        <w:tc>
          <w:tcPr>
            <w:tcW w:w="6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9"/>
              </w:rPr>
              <w:t>Menlo Park, CA</w:t>
            </w:r>
          </w:p>
        </w:tc>
        <w:tc>
          <w:tcPr>
            <w:tcW w:w="4180" w:type="dxa"/>
            <w:vAlign w:val="bottom"/>
          </w:tcPr>
          <w:p>
            <w:pPr>
              <w:jc w:val="right"/>
              <w:ind w:right="1050"/>
              <w:spacing w:after="0"/>
              <w:rPr>
                <w:sz w:val="20"/>
                <w:szCs w:val="20"/>
                <w:color w:val="auto"/>
              </w:rPr>
            </w:pPr>
            <w:r>
              <w:rPr>
                <w:rFonts w:ascii="Arial" w:cs="Arial" w:eastAsia="Arial" w:hAnsi="Arial"/>
                <w:sz w:val="18"/>
                <w:szCs w:val="18"/>
                <w:b w:val="1"/>
                <w:bCs w:val="1"/>
                <w:color w:val="auto"/>
              </w:rPr>
              <w:t>94025</w:t>
            </w:r>
          </w:p>
        </w:tc>
      </w:tr>
      <w:tr>
        <w:trPr>
          <w:trHeight w:val="262"/>
        </w:trPr>
        <w:tc>
          <w:tcPr>
            <w:tcW w:w="6060" w:type="dxa"/>
            <w:vAlign w:val="bottom"/>
          </w:tcPr>
          <w:p>
            <w:pPr>
              <w:jc w:val="center"/>
              <w:ind w:right="1330"/>
              <w:spacing w:after="0"/>
              <w:rPr>
                <w:sz w:val="20"/>
                <w:szCs w:val="20"/>
                <w:color w:val="auto"/>
              </w:rPr>
            </w:pPr>
            <w:r>
              <w:rPr>
                <w:rFonts w:ascii="Arial" w:cs="Arial" w:eastAsia="Arial" w:hAnsi="Arial"/>
                <w:sz w:val="18"/>
                <w:szCs w:val="18"/>
                <w:color w:val="auto"/>
                <w:w w:val="99"/>
              </w:rPr>
              <w:t>(Address of Principal Executive Offices)</w:t>
            </w:r>
          </w:p>
        </w:tc>
        <w:tc>
          <w:tcPr>
            <w:tcW w:w="4180" w:type="dxa"/>
            <w:vAlign w:val="bottom"/>
          </w:tcPr>
          <w:p>
            <w:pPr>
              <w:jc w:val="center"/>
              <w:ind w:left="1310"/>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460-2551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720" w:type="dxa"/>
            <w:vAlign w:val="bottom"/>
          </w:tcPr>
          <w:p>
            <w:pPr>
              <w:jc w:val="center"/>
              <w:ind w:right="890"/>
              <w:spacing w:after="0"/>
              <w:rPr>
                <w:sz w:val="20"/>
                <w:szCs w:val="20"/>
                <w:color w:val="auto"/>
              </w:rPr>
            </w:pPr>
            <w:r>
              <w:rPr>
                <w:rFonts w:ascii="Arial" w:cs="Arial" w:eastAsia="Arial" w:hAnsi="Arial"/>
                <w:sz w:val="18"/>
                <w:szCs w:val="18"/>
                <w:color w:val="auto"/>
                <w:w w:val="98"/>
              </w:rPr>
              <w:t>Title of each class</w:t>
            </w:r>
          </w:p>
        </w:tc>
        <w:tc>
          <w:tcPr>
            <w:tcW w:w="2240" w:type="dxa"/>
            <w:vAlign w:val="bottom"/>
          </w:tcPr>
          <w:p>
            <w:pPr>
              <w:jc w:val="center"/>
              <w:ind w:right="370"/>
              <w:spacing w:after="0"/>
              <w:rPr>
                <w:sz w:val="20"/>
                <w:szCs w:val="20"/>
                <w:color w:val="auto"/>
              </w:rPr>
            </w:pPr>
            <w:r>
              <w:rPr>
                <w:rFonts w:ascii="Arial" w:cs="Arial" w:eastAsia="Arial" w:hAnsi="Arial"/>
                <w:sz w:val="18"/>
                <w:szCs w:val="18"/>
                <w:color w:val="auto"/>
                <w:w w:val="99"/>
              </w:rPr>
              <w:t>Trading Symbol(s)</w:t>
            </w:r>
          </w:p>
        </w:tc>
        <w:tc>
          <w:tcPr>
            <w:tcW w:w="4280" w:type="dxa"/>
            <w:vAlign w:val="bottom"/>
          </w:tcPr>
          <w:p>
            <w:pPr>
              <w:jc w:val="center"/>
              <w:ind w:left="430"/>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64"/>
        </w:trPr>
        <w:tc>
          <w:tcPr>
            <w:tcW w:w="4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720" w:type="dxa"/>
            <w:vAlign w:val="bottom"/>
          </w:tcPr>
          <w:p>
            <w:pPr>
              <w:jc w:val="center"/>
              <w:ind w:right="890"/>
              <w:spacing w:after="0" w:line="177" w:lineRule="exact"/>
              <w:rPr>
                <w:sz w:val="20"/>
                <w:szCs w:val="20"/>
                <w:color w:val="auto"/>
              </w:rPr>
            </w:pPr>
            <w:r>
              <w:rPr>
                <w:rFonts w:ascii="Arial" w:cs="Arial" w:eastAsia="Arial" w:hAnsi="Arial"/>
                <w:sz w:val="18"/>
                <w:szCs w:val="18"/>
                <w:color w:val="auto"/>
                <w:w w:val="99"/>
              </w:rPr>
              <w:t>Class A common stock, par value $0.00001</w:t>
            </w:r>
          </w:p>
        </w:tc>
        <w:tc>
          <w:tcPr>
            <w:tcW w:w="2240" w:type="dxa"/>
            <w:vAlign w:val="bottom"/>
            <w:vMerge w:val="restart"/>
          </w:tcPr>
          <w:p>
            <w:pPr>
              <w:jc w:val="center"/>
              <w:ind w:right="370"/>
              <w:spacing w:after="0"/>
              <w:rPr>
                <w:sz w:val="20"/>
                <w:szCs w:val="20"/>
                <w:color w:val="auto"/>
              </w:rPr>
            </w:pPr>
            <w:r>
              <w:rPr>
                <w:rFonts w:ascii="Arial" w:cs="Arial" w:eastAsia="Arial" w:hAnsi="Arial"/>
                <w:sz w:val="18"/>
                <w:szCs w:val="18"/>
                <w:color w:val="auto"/>
              </w:rPr>
              <w:t>BLLN</w:t>
            </w:r>
          </w:p>
        </w:tc>
        <w:tc>
          <w:tcPr>
            <w:tcW w:w="4280" w:type="dxa"/>
            <w:vAlign w:val="bottom"/>
            <w:vMerge w:val="restart"/>
          </w:tcPr>
          <w:p>
            <w:pPr>
              <w:jc w:val="center"/>
              <w:ind w:left="450"/>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720" w:type="dxa"/>
            <w:vAlign w:val="bottom"/>
          </w:tcPr>
          <w:p>
            <w:pPr>
              <w:jc w:val="center"/>
              <w:ind w:right="870"/>
              <w:spacing w:after="0"/>
              <w:rPr>
                <w:sz w:val="20"/>
                <w:szCs w:val="20"/>
                <w:color w:val="auto"/>
              </w:rPr>
            </w:pPr>
            <w:r>
              <w:rPr>
                <w:rFonts w:ascii="Arial" w:cs="Arial" w:eastAsia="Arial" w:hAnsi="Arial"/>
                <w:sz w:val="18"/>
                <w:szCs w:val="18"/>
                <w:color w:val="auto"/>
                <w:w w:val="99"/>
              </w:rPr>
              <w:t>per share</w:t>
            </w:r>
          </w:p>
        </w:tc>
        <w:tc>
          <w:tcPr>
            <w:tcW w:w="2240" w:type="dxa"/>
            <w:vAlign w:val="bottom"/>
            <w:vMerge w:val="continue"/>
          </w:tcPr>
          <w:p>
            <w:pPr>
              <w:spacing w:after="0"/>
              <w:rPr>
                <w:sz w:val="20"/>
                <w:szCs w:val="20"/>
                <w:color w:val="auto"/>
              </w:rPr>
            </w:pP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3"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29"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63" w:lineRule="exact"/>
        <w:rPr>
          <w:sz w:val="24"/>
          <w:szCs w:val="24"/>
          <w:color w:val="auto"/>
        </w:rPr>
      </w:pPr>
    </w:p>
    <w:p>
      <w:pPr>
        <w:ind w:left="10320"/>
        <w:spacing w:after="0"/>
        <w:rPr>
          <w:sz w:val="20"/>
          <w:szCs w:val="20"/>
          <w:color w:val="auto"/>
        </w:rPr>
      </w:pPr>
      <w:r>
        <w:rPr>
          <w:rFonts w:ascii="Arial" w:cs="Arial" w:eastAsia="Arial" w:hAnsi="Arial"/>
          <w:sz w:val="17"/>
          <w:szCs w:val="17"/>
          <w:color w:val="auto"/>
        </w:rPr>
        <w:t xml:space="preserve">Yes x No </w:t>
      </w:r>
      <w:r>
        <w:rPr>
          <w:rFonts w:ascii="Wingdings" w:cs="Wingdings" w:eastAsia="Wingdings" w:hAnsi="Wingdings"/>
          <w:sz w:val="17"/>
          <w:szCs w:val="17"/>
          <w:b w:val="1"/>
          <w:bCs w:val="1"/>
          <w:color w:val="auto"/>
        </w:rPr>
        <w:t>o</w:t>
      </w:r>
    </w:p>
    <w:p>
      <w:pPr>
        <w:spacing w:after="0" w:line="129"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72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rPr>
                <w:sz w:val="20"/>
                <w:szCs w:val="20"/>
                <w:color w:val="auto"/>
              </w:rPr>
            </w:pPr>
            <w:r>
              <w:rPr>
                <w:rFonts w:ascii="Wingdings" w:cs="Wingdings" w:eastAsia="Wingdings" w:hAnsi="Wingdings"/>
                <w:sz w:val="18"/>
                <w:szCs w:val="18"/>
                <w:b w:val="1"/>
                <w:bCs w:val="1"/>
                <w:color w:val="auto"/>
                <w:w w:val="99"/>
              </w:rPr>
              <w:t>o</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740"/>
              <w:spacing w:after="0"/>
              <w:rPr>
                <w:sz w:val="20"/>
                <w:szCs w:val="20"/>
                <w:color w:val="auto"/>
              </w:rPr>
            </w:pPr>
            <w:r>
              <w:rPr>
                <w:rFonts w:ascii="Wingdings" w:cs="Wingdings" w:eastAsia="Wingdings" w:hAnsi="Wingdings"/>
                <w:sz w:val="18"/>
                <w:szCs w:val="18"/>
                <w:b w:val="1"/>
                <w:bCs w:val="1"/>
                <w:color w:val="auto"/>
              </w:rPr>
              <w:t>x</w:t>
            </w:r>
          </w:p>
        </w:tc>
        <w:tc>
          <w:tcPr>
            <w:tcW w:w="472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Wingdings" w:cs="Wingdings" w:eastAsia="Wingdings" w:hAnsi="Wingdings"/>
                <w:sz w:val="18"/>
                <w:szCs w:val="18"/>
                <w:b w:val="1"/>
                <w:bCs w:val="1"/>
                <w:color w:val="auto"/>
                <w:w w:val="99"/>
              </w:rPr>
              <w:t>o</w:t>
            </w:r>
          </w:p>
        </w:tc>
      </w:tr>
      <w:tr>
        <w:trPr>
          <w:trHeight w:val="324"/>
        </w:trPr>
        <w:tc>
          <w:tcPr>
            <w:tcW w:w="2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2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7" w:lineRule="exact"/>
        <w:rPr>
          <w:sz w:val="24"/>
          <w:szCs w:val="24"/>
          <w:color w:val="auto"/>
        </w:rPr>
      </w:pPr>
    </w:p>
    <w:p>
      <w:pPr>
        <w:ind w:right="20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2"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ectPr>
          <w:pgSz w:w="11900" w:h="16838" w:orient="portrait"/>
          <w:cols w:equalWidth="0" w:num="1">
            <w:col w:w="11240"/>
          </w:cols>
          <w:pgMar w:left="320" w:top="225" w:right="339" w:bottom="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5, 2025, the registrant had 41,216,110 shares of Class A common stock, par value $0.00001 per share, and 4,552,650</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shares of Class B common stock, par value $0.00001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1030605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134620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6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0000FF"/>
        </w:rPr>
        <w:t>PART I FINANCIAL INFORMATION</w:t>
      </w:r>
    </w:p>
    <w:p>
      <w:pPr>
        <w:spacing w:after="0" w:line="198"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8"/>
          <w:szCs w:val="18"/>
          <w:color w:val="0000FF"/>
        </w:rPr>
        <w:t>ITEM 1.</w:t>
      </w:r>
      <w:r>
        <w:rPr>
          <w:sz w:val="20"/>
          <w:szCs w:val="20"/>
          <w:color w:val="auto"/>
        </w:rPr>
        <w:tab/>
      </w:r>
      <w:r>
        <w:rPr>
          <w:rFonts w:ascii="Arial" w:cs="Arial" w:eastAsia="Arial" w:hAnsi="Arial"/>
          <w:sz w:val="17"/>
          <w:szCs w:val="17"/>
          <w:color w:val="0000FF"/>
        </w:rPr>
        <w:t>FINANCIAL STATEMENTS (UNAUDITED)</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Balance Sheets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Statements of Operations and Comprehensive Income (Loss)</w:t>
      </w:r>
    </w:p>
    <w:p>
      <w:pPr>
        <w:spacing w:after="0" w:line="63" w:lineRule="exact"/>
        <w:rPr>
          <w:sz w:val="20"/>
          <w:szCs w:val="20"/>
          <w:color w:val="auto"/>
        </w:rPr>
      </w:pPr>
    </w:p>
    <w:p>
      <w:pPr>
        <w:ind w:left="1180" w:right="2140"/>
        <w:spacing w:after="0" w:line="313" w:lineRule="auto"/>
        <w:rPr>
          <w:sz w:val="20"/>
          <w:szCs w:val="20"/>
          <w:color w:val="auto"/>
        </w:rPr>
      </w:pPr>
      <w:r>
        <w:rPr>
          <w:rFonts w:ascii="Arial" w:cs="Arial" w:eastAsia="Arial" w:hAnsi="Arial"/>
          <w:sz w:val="18"/>
          <w:szCs w:val="18"/>
          <w:u w:val="single" w:color="auto"/>
          <w:color w:val="0000FF"/>
        </w:rPr>
        <w:t>Statements of Redeemable Convertible Preferred Stock and Stockholders’ Deficit Statements of Cash Flows</w:t>
      </w:r>
    </w:p>
    <w:p>
      <w:pPr>
        <w:ind w:left="1180"/>
        <w:spacing w:after="0"/>
        <w:rPr>
          <w:sz w:val="20"/>
          <w:szCs w:val="20"/>
          <w:color w:val="auto"/>
        </w:rPr>
      </w:pPr>
      <w:r>
        <w:rPr>
          <w:rFonts w:ascii="Arial" w:cs="Arial" w:eastAsia="Arial" w:hAnsi="Arial"/>
          <w:sz w:val="18"/>
          <w:szCs w:val="18"/>
          <w:u w:val="single" w:color="auto"/>
          <w:color w:val="0000FF"/>
        </w:rPr>
        <w:t>Notes to Unaudited Interim Financial Statements</w:t>
      </w:r>
    </w:p>
    <w:p>
      <w:pPr>
        <w:spacing w:after="0" w:line="32" w:lineRule="exact"/>
        <w:rPr>
          <w:sz w:val="20"/>
          <w:szCs w:val="20"/>
          <w:color w:val="auto"/>
        </w:rPr>
      </w:pPr>
    </w:p>
    <w:p>
      <w:pPr>
        <w:ind w:left="1180" w:right="700" w:hanging="1079"/>
        <w:spacing w:after="0" w:line="287" w:lineRule="auto"/>
        <w:tabs>
          <w:tab w:leader="none" w:pos="1160" w:val="left"/>
        </w:tabs>
        <w:rPr>
          <w:sz w:val="20"/>
          <w:szCs w:val="20"/>
          <w:color w:val="auto"/>
        </w:rPr>
      </w:pPr>
      <w:r>
        <w:rPr>
          <w:rFonts w:ascii="Arial" w:cs="Arial" w:eastAsia="Arial" w:hAnsi="Arial"/>
          <w:sz w:val="35"/>
          <w:szCs w:val="35"/>
          <w:color w:val="0000FF"/>
          <w:vertAlign w:val="subscript"/>
        </w:rPr>
        <w:t>ITEM 2.</w:t>
      </w:r>
      <w:r>
        <w:rPr>
          <w:sz w:val="20"/>
          <w:szCs w:val="20"/>
          <w:color w:val="auto"/>
        </w:rPr>
        <w:tab/>
      </w:r>
      <w:r>
        <w:rPr>
          <w:rFonts w:ascii="Arial" w:cs="Arial" w:eastAsia="Arial" w:hAnsi="Arial"/>
          <w:sz w:val="18"/>
          <w:szCs w:val="18"/>
          <w:color w:val="0000FF"/>
        </w:rPr>
        <w:t>MANAGEMENT’S DISCUSSION AND ANALYSIS OF FINANCIAL CONDITION AND RESULTS OF OPERATIONS</w:t>
      </w:r>
    </w:p>
    <w:p>
      <w:pPr>
        <w:spacing w:after="0" w:line="49"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8"/>
          <w:szCs w:val="18"/>
          <w:color w:val="0000FF"/>
        </w:rPr>
        <w:t>ITEM 3.</w:t>
      </w:r>
      <w:r>
        <w:rPr>
          <w:sz w:val="20"/>
          <w:szCs w:val="20"/>
          <w:color w:val="auto"/>
        </w:rPr>
        <w:tab/>
      </w:r>
      <w:r>
        <w:rPr>
          <w:rFonts w:ascii="Arial" w:cs="Arial" w:eastAsia="Arial" w:hAnsi="Arial"/>
          <w:sz w:val="17"/>
          <w:szCs w:val="17"/>
          <w:color w:val="0000FF"/>
        </w:rPr>
        <w:t>QUANTITATIVE AND QUALITATIVE DISCLOSURES ABOUT MARKET RISK</w:t>
      </w:r>
    </w:p>
    <w:p>
      <w:pPr>
        <w:spacing w:after="0" w:line="117"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8"/>
          <w:szCs w:val="18"/>
          <w:color w:val="0000FF"/>
        </w:rPr>
        <w:t>ITEM 4.</w:t>
      </w:r>
      <w:r>
        <w:rPr>
          <w:sz w:val="20"/>
          <w:szCs w:val="20"/>
          <w:color w:val="auto"/>
        </w:rPr>
        <w:tab/>
      </w:r>
      <w:r>
        <w:rPr>
          <w:rFonts w:ascii="Arial" w:cs="Arial" w:eastAsia="Arial" w:hAnsi="Arial"/>
          <w:sz w:val="18"/>
          <w:szCs w:val="18"/>
          <w:color w:val="0000FF"/>
        </w:rPr>
        <w:t>CONTROLS AND PROCEDURES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0000FF"/>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28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49</w:t>
      </w:r>
    </w:p>
    <w:p>
      <w:pPr>
        <w:spacing w:after="0" w:line="198" w:lineRule="exact"/>
        <w:rPr>
          <w:sz w:val="20"/>
          <w:szCs w:val="20"/>
          <w:color w:val="auto"/>
        </w:rPr>
      </w:pPr>
    </w:p>
    <w:p>
      <w:pPr>
        <w:sectPr>
          <w:pgSz w:w="11900" w:h="16838" w:orient="portrait"/>
          <w:cols w:equalWidth="0" w:num="2">
            <w:col w:w="9800" w:space="720"/>
            <w:col w:w="700"/>
          </w:cols>
          <w:pgMar w:left="320" w:top="117" w:right="359" w:bottom="1440" w:gutter="0" w:footer="0" w:header="0"/>
        </w:sectPr>
      </w:pP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1.</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1A.</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2.</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3.</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4.</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5.</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ITEM 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000FF"/>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00FF"/>
        </w:rPr>
        <w:t>RISK FACTORS</w:t>
      </w:r>
    </w:p>
    <w:p>
      <w:pPr>
        <w:spacing w:after="0" w:line="117" w:lineRule="exact"/>
        <w:rPr>
          <w:sz w:val="20"/>
          <w:szCs w:val="20"/>
          <w:color w:val="auto"/>
        </w:rPr>
      </w:pPr>
    </w:p>
    <w:p>
      <w:pPr>
        <w:ind w:right="2700"/>
        <w:spacing w:after="0" w:line="375" w:lineRule="auto"/>
        <w:rPr>
          <w:sz w:val="20"/>
          <w:szCs w:val="20"/>
          <w:color w:val="auto"/>
        </w:rPr>
      </w:pPr>
      <w:r>
        <w:rPr>
          <w:rFonts w:ascii="Arial" w:cs="Arial" w:eastAsia="Arial" w:hAnsi="Arial"/>
          <w:sz w:val="18"/>
          <w:szCs w:val="18"/>
          <w:color w:val="0000FF"/>
        </w:rPr>
        <w:t>UNREGISTERED SALES OF EQUITY SECURITIES AND USE OF PROCEEDS DEFAULTS UPON SENIOR SECURITIES MINE SAFETY DISCLOSURES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00FF"/>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00FF"/>
        </w:rPr>
        <w:t>EXHIBITS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000FF"/>
        </w:rPr>
        <w:t>49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49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94</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95</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95</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95</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95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0000FF"/>
        </w:rPr>
        <w:t>97</w:t>
      </w:r>
    </w:p>
    <w:p>
      <w:pPr>
        <w:spacing w:after="0" w:line="200" w:lineRule="exact"/>
        <w:rPr>
          <w:sz w:val="20"/>
          <w:szCs w:val="20"/>
          <w:color w:val="auto"/>
        </w:rPr>
      </w:pPr>
    </w:p>
    <w:p>
      <w:pPr>
        <w:sectPr>
          <w:pgSz w:w="11900" w:h="16838" w:orient="portrait"/>
          <w:cols w:equalWidth="0" w:num="3">
            <w:col w:w="1180" w:space="0"/>
            <w:col w:w="9120" w:space="720"/>
            <w:col w:w="20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Quarterly Report on Form 10-Q (this “Quarterly Report”) contains forward-looking statements within the meaning of the Private Securities Litigation Reform Act of 1995 and other federal securities laws. All statements other than statements of historical facts contained in this Quarterly Report, including statements regarding our future operating results and financial position, our business strategy and plans, our market growth, and our objectives for future operations, are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words “believe,” “may,” “will,” “estimate,” “continue,” “anticipate,” “design,” “intend,” “expect,” “forecast,” “could,” “plan,” “potential,”</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“predict,” “seek,” “target,” “should,” “would,” or the negative version of these words and similar expressions are intended to identify forward-looking statements. We have based these forward-looking statements on our current expectations and projections about future events and</w:t>
      </w:r>
    </w:p>
    <w:p>
      <w:pPr>
        <w:spacing w:after="0" w:line="2"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trends that we believe may affect our financial condition, results of operations, strategy, short- and long-term business operations and objectives, and financial needs. Forward-looking statements contained in this Quarterly Report include, but are not limited to, statements about:</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adoption of our products in the prenatal and oncology markets and in large healthcare systems;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persuasive clinical validity and utility evidence;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portfolio of molecular diagnostic tests;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AI effectively and efficiently;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reimbursement strategy and expand coverage of our tests;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positive results from trials or studies conducted by us or third parties in current or future trials or studies;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our UNITY Fetal Antigen CTA to become the first NIPT to have a companion diagnostics indication pending;</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completion of Johnson &amp; Johnson’s AZALEA Phase 3 clinical trial;</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ind w:left="660" w:right="54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total addressable markets for our current and future products and our ability to serve those markets;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current and future collaborations for the development of our products;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expand and protect our intellectual property;</w:t>
      </w:r>
    </w:p>
    <w:p>
      <w:pPr>
        <w:ind w:left="660" w:right="5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with respect to the possibility of competitors initiating legal proceedings against us;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tariffs and inflation;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our key personnel and additional qualified personnel;</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w:t>
      </w:r>
    </w:p>
    <w:p>
      <w:pPr>
        <w:spacing w:after="0" w:line="23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and circumstances discussed in this Quarterly Report may not occur and actual results could differ materially and adversely from those anticipated or implied in the forward-looking statements.</w:t>
      </w:r>
    </w:p>
    <w:p>
      <w:pPr>
        <w:spacing w:after="0" w:line="18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performance or achievements. The forward-looking statements made in this Quarterly Report are given only as of the date on which the statements are made. We undertake no obligation to update any of these forward-looking statements for any reason after the date of this Quarterly Report or to conform these statements to actual results or to changes in our expectations, except as required by law.</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Financial Statements (Unaudited)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2025</w:t>
            </w:r>
          </w:p>
        </w:tc>
        <w:tc>
          <w:tcPr>
            <w:tcW w:w="14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818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4"/>
                <w:szCs w:val="14"/>
                <w:color w:val="auto"/>
              </w:rPr>
              <w:t>Cash and cash equivalents</w:t>
            </w:r>
          </w:p>
        </w:tc>
        <w:tc>
          <w:tcPr>
            <w:tcW w:w="46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195,152</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191,477</w:t>
            </w: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24,709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4"/>
                <w:szCs w:val="14"/>
                <w:color w:val="auto"/>
              </w:rPr>
              <w:t>Inventories</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17,389</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8,733</w:t>
            </w: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E5E5E5"/>
            </w:tcBorders>
            <w:shd w:val="clear" w:color="auto" w:fill="E5E5E5"/>
          </w:tcPr>
          <w:p>
            <w:pPr>
              <w:spacing w:after="0"/>
              <w:rPr>
                <w:sz w:val="17"/>
                <w:szCs w:val="17"/>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251,716</w:t>
            </w:r>
          </w:p>
        </w:tc>
        <w:tc>
          <w:tcPr>
            <w:tcW w:w="10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E5E5E5"/>
            </w:tcBorders>
            <w:shd w:val="clear" w:color="auto" w:fill="E5E5E5"/>
          </w:tcPr>
          <w:p>
            <w:pPr>
              <w:spacing w:after="0"/>
              <w:rPr>
                <w:sz w:val="17"/>
                <w:szCs w:val="17"/>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227,817</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17,111</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Operating lease right-of-use assets, net</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48,024</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51,739</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327,521</w:t>
            </w:r>
          </w:p>
        </w:tc>
        <w:tc>
          <w:tcPr>
            <w:tcW w:w="100" w:type="dxa"/>
            <w:vAlign w:val="bottom"/>
            <w:tcBorders>
              <w:bottom w:val="single" w:sz="8" w:color="E5E5E5"/>
            </w:tcBorders>
            <w:shd w:val="clear" w:color="auto" w:fill="E5E5E5"/>
          </w:tcPr>
          <w:p>
            <w:pPr>
              <w:spacing w:after="0"/>
              <w:rPr>
                <w:sz w:val="21"/>
                <w:szCs w:val="21"/>
                <w:color w:val="auto"/>
              </w:rPr>
            </w:pPr>
          </w:p>
        </w:tc>
        <w:tc>
          <w:tcPr>
            <w:tcW w:w="46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302,059</w:t>
            </w:r>
          </w:p>
        </w:tc>
        <w:tc>
          <w:tcPr>
            <w:tcW w:w="0" w:type="dxa"/>
            <w:vAlign w:val="bottom"/>
          </w:tcPr>
          <w:p>
            <w:pPr>
              <w:spacing w:after="0"/>
              <w:rPr>
                <w:sz w:val="1"/>
                <w:szCs w:val="1"/>
                <w:color w:val="auto"/>
              </w:rPr>
            </w:pPr>
          </w:p>
        </w:tc>
      </w:tr>
      <w:tr>
        <w:trPr>
          <w:trHeight w:val="20"/>
        </w:trPr>
        <w:tc>
          <w:tcPr>
            <w:tcW w:w="818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Current liabilities:</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7,806</w:t>
            </w:r>
          </w:p>
        </w:tc>
        <w:tc>
          <w:tcPr>
            <w:tcW w:w="10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4,304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8,041</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Accrued commissions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4"/>
                <w:szCs w:val="14"/>
                <w:color w:val="auto"/>
              </w:rPr>
              <w:t>Accrued compensation and employee benefits</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13,687</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8,419</w:t>
            </w: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Deferred revenue, current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4"/>
                <w:szCs w:val="14"/>
                <w:color w:val="auto"/>
              </w:rPr>
              <w:t>Operating lease liabilities, current</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4,902</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4,393</w:t>
            </w:r>
          </w:p>
        </w:tc>
        <w:tc>
          <w:tcPr>
            <w:tcW w:w="0" w:type="dxa"/>
            <w:vAlign w:val="bottom"/>
          </w:tcPr>
          <w:p>
            <w:pPr>
              <w:spacing w:after="0"/>
              <w:rPr>
                <w:sz w:val="1"/>
                <w:szCs w:val="1"/>
                <w:color w:val="auto"/>
              </w:rPr>
            </w:pPr>
          </w:p>
        </w:tc>
      </w:tr>
      <w:tr>
        <w:trPr>
          <w:trHeight w:val="208"/>
        </w:trPr>
        <w:tc>
          <w:tcPr>
            <w:tcW w:w="8180" w:type="dxa"/>
            <w:vAlign w:val="bottom"/>
          </w:tcPr>
          <w:p>
            <w:pPr>
              <w:ind w:left="380"/>
              <w:spacing w:after="0"/>
              <w:rPr>
                <w:sz w:val="20"/>
                <w:szCs w:val="20"/>
                <w:color w:val="auto"/>
              </w:rPr>
            </w:pPr>
            <w:r>
              <w:rPr>
                <w:rFonts w:ascii="Arial" w:cs="Arial" w:eastAsia="Arial" w:hAnsi="Arial"/>
                <w:sz w:val="14"/>
                <w:szCs w:val="14"/>
                <w:color w:val="auto"/>
              </w:rPr>
              <w:t>Financing lease liabilities, current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4"/>
                <w:szCs w:val="14"/>
                <w:color w:val="auto"/>
              </w:rPr>
              <w:t>Total current liabilities</w:t>
            </w:r>
          </w:p>
        </w:tc>
        <w:tc>
          <w:tcPr>
            <w:tcW w:w="460" w:type="dxa"/>
            <w:vAlign w:val="bottom"/>
            <w:tcBorders>
              <w:bottom w:val="single" w:sz="8" w:color="E5E5E5"/>
            </w:tcBorders>
            <w:shd w:val="clear" w:color="auto" w:fill="E5E5E5"/>
          </w:tcPr>
          <w:p>
            <w:pPr>
              <w:spacing w:after="0"/>
              <w:rPr>
                <w:sz w:val="17"/>
                <w:szCs w:val="17"/>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40,785</w:t>
            </w:r>
          </w:p>
        </w:tc>
        <w:tc>
          <w:tcPr>
            <w:tcW w:w="10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E5E5E5"/>
            </w:tcBorders>
            <w:shd w:val="clear" w:color="auto" w:fill="E5E5E5"/>
          </w:tcPr>
          <w:p>
            <w:pPr>
              <w:spacing w:after="0"/>
              <w:rPr>
                <w:sz w:val="17"/>
                <w:szCs w:val="17"/>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28,386</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50,802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Financing lease liabilities, non-current</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54,986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51,481</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Other non-current liabilities</w:t>
            </w:r>
          </w:p>
        </w:tc>
        <w:tc>
          <w:tcPr>
            <w:tcW w:w="46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4,348</w:t>
            </w:r>
          </w:p>
        </w:tc>
        <w:tc>
          <w:tcPr>
            <w:tcW w:w="100" w:type="dxa"/>
            <w:vAlign w:val="bottom"/>
            <w:tcBorders>
              <w:bottom w:val="single" w:sz="8" w:color="E5E5E5"/>
            </w:tcBorders>
            <w:shd w:val="clear" w:color="auto" w:fill="E5E5E5"/>
          </w:tcPr>
          <w:p>
            <w:pPr>
              <w:spacing w:after="0"/>
              <w:rPr>
                <w:sz w:val="19"/>
                <w:szCs w:val="19"/>
                <w:color w:val="auto"/>
              </w:rPr>
            </w:pPr>
          </w:p>
        </w:tc>
        <w:tc>
          <w:tcPr>
            <w:tcW w:w="46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201"/>
        </w:trPr>
        <w:tc>
          <w:tcPr>
            <w:tcW w:w="8180" w:type="dxa"/>
            <w:vAlign w:val="bottom"/>
          </w:tcPr>
          <w:p>
            <w:pPr>
              <w:ind w:left="760"/>
              <w:spacing w:after="0"/>
              <w:rPr>
                <w:sz w:val="20"/>
                <w:szCs w:val="20"/>
                <w:color w:val="auto"/>
              </w:rPr>
            </w:pPr>
            <w:r>
              <w:rPr>
                <w:rFonts w:ascii="Arial" w:cs="Arial" w:eastAsia="Arial" w:hAnsi="Arial"/>
                <w:sz w:val="14"/>
                <w:szCs w:val="14"/>
                <w:color w:val="auto"/>
              </w:rPr>
              <w:t>Total liabilities</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147,625</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134,306</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Commitments and contingencies (Note 7)</w:t>
            </w:r>
          </w:p>
        </w:tc>
        <w:tc>
          <w:tcPr>
            <w:tcW w:w="460" w:type="dxa"/>
            <w:vAlign w:val="bottom"/>
            <w:tcBorders>
              <w:bottom w:val="single" w:sz="8" w:color="E5E5E5"/>
            </w:tcBorders>
            <w:shd w:val="clear" w:color="auto" w:fill="E5E5E5"/>
          </w:tcPr>
          <w:p>
            <w:pPr>
              <w:spacing w:after="0"/>
              <w:rPr>
                <w:sz w:val="16"/>
                <w:szCs w:val="16"/>
                <w:color w:val="auto"/>
              </w:rPr>
            </w:pPr>
          </w:p>
        </w:tc>
        <w:tc>
          <w:tcPr>
            <w:tcW w:w="102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460" w:type="dxa"/>
            <w:vAlign w:val="bottom"/>
            <w:tcBorders>
              <w:bottom w:val="single" w:sz="8" w:color="E5E5E5"/>
            </w:tcBorders>
            <w:shd w:val="clear" w:color="auto" w:fill="E5E5E5"/>
          </w:tcPr>
          <w:p>
            <w:pPr>
              <w:spacing w:after="0"/>
              <w:rPr>
                <w:sz w:val="16"/>
                <w:szCs w:val="16"/>
                <w:color w:val="auto"/>
              </w:rPr>
            </w:pPr>
          </w:p>
        </w:tc>
        <w:tc>
          <w:tcPr>
            <w:tcW w:w="1020" w:type="dxa"/>
            <w:vAlign w:val="bottom"/>
            <w:tcBorders>
              <w:bottom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Arial" w:cs="Arial" w:eastAsia="Arial" w:hAnsi="Arial"/>
                <w:sz w:val="14"/>
                <w:szCs w:val="14"/>
                <w:color w:val="auto"/>
              </w:rPr>
              <w:t>Redeemable convertible preferred stock, $0.00001 par value; 29,544,989 shares authorized as of September 30, 2025 and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00"/>
              <w:spacing w:after="0"/>
              <w:rPr>
                <w:sz w:val="20"/>
                <w:szCs w:val="20"/>
                <w:color w:val="auto"/>
              </w:rPr>
            </w:pPr>
            <w:r>
              <w:rPr>
                <w:rFonts w:ascii="Arial" w:cs="Arial" w:eastAsia="Arial" w:hAnsi="Arial"/>
                <w:sz w:val="14"/>
                <w:szCs w:val="14"/>
                <w:color w:val="auto"/>
              </w:rPr>
              <w:t>December 31, 2024; 29,084,235 shares issued and outstanding as of September 30, 2025 and December 31, 2024;</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419,409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419,409</w:t>
            </w:r>
          </w:p>
        </w:tc>
        <w:tc>
          <w:tcPr>
            <w:tcW w:w="0" w:type="dxa"/>
            <w:vAlign w:val="bottom"/>
          </w:tcPr>
          <w:p>
            <w:pPr>
              <w:spacing w:after="0"/>
              <w:rPr>
                <w:sz w:val="1"/>
                <w:szCs w:val="1"/>
                <w:color w:val="auto"/>
              </w:rPr>
            </w:pPr>
          </w:p>
        </w:tc>
      </w:tr>
      <w:tr>
        <w:trPr>
          <w:trHeight w:val="194"/>
        </w:trPr>
        <w:tc>
          <w:tcPr>
            <w:tcW w:w="8180" w:type="dxa"/>
            <w:vAlign w:val="bottom"/>
            <w:tcBorders>
              <w:bottom w:val="single" w:sz="8" w:color="E5E5E5"/>
            </w:tcBorders>
          </w:tcPr>
          <w:p>
            <w:pPr>
              <w:ind w:left="200"/>
              <w:spacing w:after="0"/>
              <w:rPr>
                <w:sz w:val="20"/>
                <w:szCs w:val="20"/>
                <w:color w:val="auto"/>
              </w:rPr>
            </w:pPr>
            <w:r>
              <w:rPr>
                <w:rFonts w:ascii="Arial" w:cs="Arial" w:eastAsia="Arial" w:hAnsi="Arial"/>
                <w:sz w:val="14"/>
                <w:szCs w:val="14"/>
                <w:color w:val="auto"/>
              </w:rPr>
              <w:t>aggregate liquidation preference of $422,458 as of September 30, 2025 and December 31, 2024</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Stockholders’ deficit:</w:t>
            </w:r>
          </w:p>
        </w:tc>
        <w:tc>
          <w:tcPr>
            <w:tcW w:w="460" w:type="dxa"/>
            <w:vAlign w:val="bottom"/>
            <w:tcBorders>
              <w:bottom w:val="single" w:sz="8" w:color="E5E5E5"/>
            </w:tcBorders>
            <w:shd w:val="clear" w:color="auto" w:fill="E5E5E5"/>
          </w:tcPr>
          <w:p>
            <w:pPr>
              <w:spacing w:after="0"/>
              <w:rPr>
                <w:sz w:val="16"/>
                <w:szCs w:val="16"/>
                <w:color w:val="auto"/>
              </w:rPr>
            </w:pPr>
          </w:p>
        </w:tc>
        <w:tc>
          <w:tcPr>
            <w:tcW w:w="102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460" w:type="dxa"/>
            <w:vAlign w:val="bottom"/>
            <w:tcBorders>
              <w:bottom w:val="single" w:sz="8" w:color="E5E5E5"/>
            </w:tcBorders>
            <w:shd w:val="clear" w:color="auto" w:fill="E5E5E5"/>
          </w:tcPr>
          <w:p>
            <w:pPr>
              <w:spacing w:after="0"/>
              <w:rPr>
                <w:sz w:val="16"/>
                <w:szCs w:val="16"/>
                <w:color w:val="auto"/>
              </w:rPr>
            </w:pPr>
          </w:p>
        </w:tc>
        <w:tc>
          <w:tcPr>
            <w:tcW w:w="1020" w:type="dxa"/>
            <w:vAlign w:val="bottom"/>
            <w:tcBorders>
              <w:bottom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420"/>
              <w:spacing w:after="0"/>
              <w:rPr>
                <w:sz w:val="20"/>
                <w:szCs w:val="20"/>
                <w:color w:val="auto"/>
              </w:rPr>
            </w:pPr>
            <w:r>
              <w:rPr>
                <w:rFonts w:ascii="Arial" w:cs="Arial" w:eastAsia="Arial" w:hAnsi="Arial"/>
                <w:sz w:val="14"/>
                <w:szCs w:val="14"/>
                <w:color w:val="auto"/>
              </w:rPr>
              <w:t>Common stock, $0.00001 par value, 51,100,000 shares authorized as of September 30, 2025 and December 31, 2024;</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600"/>
              <w:spacing w:after="0"/>
              <w:rPr>
                <w:sz w:val="20"/>
                <w:szCs w:val="20"/>
                <w:color w:val="auto"/>
              </w:rPr>
            </w:pPr>
            <w:r>
              <w:rPr>
                <w:rFonts w:ascii="Arial" w:cs="Arial" w:eastAsia="Arial" w:hAnsi="Arial"/>
                <w:sz w:val="14"/>
                <w:szCs w:val="14"/>
                <w:color w:val="auto"/>
              </w:rPr>
              <w:t>11,178,467 and 10,925,950 shares issued and outstanding as of September 30, 2025 and December 31, 2024,</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180" w:type="dxa"/>
            <w:vAlign w:val="bottom"/>
          </w:tcPr>
          <w:p>
            <w:pPr>
              <w:ind w:left="600"/>
              <w:spacing w:after="0"/>
              <w:rPr>
                <w:sz w:val="20"/>
                <w:szCs w:val="20"/>
                <w:color w:val="auto"/>
              </w:rPr>
            </w:pPr>
            <w:r>
              <w:rPr>
                <w:rFonts w:ascii="Arial" w:cs="Arial" w:eastAsia="Arial" w:hAnsi="Arial"/>
                <w:sz w:val="14"/>
                <w:szCs w:val="14"/>
                <w:color w:val="auto"/>
              </w:rPr>
              <w:t>respectively</w:t>
            </w: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E5E5E5"/>
            </w:tcBorders>
            <w:shd w:val="clear" w:color="auto" w:fill="E5E5E5"/>
          </w:tcPr>
          <w:p>
            <w:pPr>
              <w:ind w:left="400"/>
              <w:spacing w:after="0"/>
              <w:rPr>
                <w:sz w:val="20"/>
                <w:szCs w:val="20"/>
                <w:color w:val="auto"/>
              </w:rPr>
            </w:pPr>
            <w:r>
              <w:rPr>
                <w:rFonts w:ascii="Arial" w:cs="Arial" w:eastAsia="Arial" w:hAnsi="Arial"/>
                <w:sz w:val="14"/>
                <w:szCs w:val="14"/>
                <w:color w:val="auto"/>
              </w:rPr>
              <w:t>Additional paid-in capital</w:t>
            </w: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41,211</w:t>
            </w:r>
          </w:p>
        </w:tc>
        <w:tc>
          <w:tcPr>
            <w:tcW w:w="1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30,545</w:t>
            </w:r>
          </w:p>
        </w:tc>
        <w:tc>
          <w:tcPr>
            <w:tcW w:w="0" w:type="dxa"/>
            <w:vAlign w:val="bottom"/>
          </w:tcPr>
          <w:p>
            <w:pPr>
              <w:spacing w:after="0"/>
              <w:rPr>
                <w:sz w:val="1"/>
                <w:szCs w:val="1"/>
                <w:color w:val="auto"/>
              </w:rPr>
            </w:pPr>
          </w:p>
        </w:tc>
      </w:tr>
      <w:tr>
        <w:trPr>
          <w:trHeight w:val="208"/>
        </w:trPr>
        <w:tc>
          <w:tcPr>
            <w:tcW w:w="8180" w:type="dxa"/>
            <w:vAlign w:val="bottom"/>
          </w:tcPr>
          <w:p>
            <w:pPr>
              <w:ind w:left="400"/>
              <w:spacing w:after="0"/>
              <w:rPr>
                <w:sz w:val="20"/>
                <w:szCs w:val="20"/>
                <w:color w:val="auto"/>
              </w:rPr>
            </w:pPr>
            <w:r>
              <w:rPr>
                <w:rFonts w:ascii="Arial" w:cs="Arial" w:eastAsia="Arial" w:hAnsi="Arial"/>
                <w:sz w:val="14"/>
                <w:szCs w:val="14"/>
                <w:color w:val="auto"/>
              </w:rPr>
              <w:t>Accumulated deficit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(280,724)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(282,201)</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4"/>
                <w:szCs w:val="14"/>
                <w:color w:val="auto"/>
              </w:rPr>
              <w:t>Total stockholders’ deficit</w:t>
            </w:r>
          </w:p>
        </w:tc>
        <w:tc>
          <w:tcPr>
            <w:tcW w:w="46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(239,513)</w:t>
            </w:r>
          </w:p>
        </w:tc>
        <w:tc>
          <w:tcPr>
            <w:tcW w:w="100" w:type="dxa"/>
            <w:vAlign w:val="bottom"/>
            <w:tcBorders>
              <w:bottom w:val="single" w:sz="8" w:color="E5E5E5"/>
            </w:tcBorders>
            <w:shd w:val="clear" w:color="auto" w:fill="E5E5E5"/>
          </w:tcPr>
          <w:p>
            <w:pPr>
              <w:spacing w:after="0"/>
              <w:rPr>
                <w:sz w:val="19"/>
                <w:szCs w:val="19"/>
                <w:color w:val="auto"/>
              </w:rPr>
            </w:pPr>
          </w:p>
        </w:tc>
        <w:tc>
          <w:tcPr>
            <w:tcW w:w="46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(251,656)</w:t>
            </w:r>
          </w:p>
        </w:tc>
        <w:tc>
          <w:tcPr>
            <w:tcW w:w="0" w:type="dxa"/>
            <w:vAlign w:val="bottom"/>
          </w:tcPr>
          <w:p>
            <w:pPr>
              <w:spacing w:after="0"/>
              <w:rPr>
                <w:sz w:val="1"/>
                <w:szCs w:val="1"/>
                <w:color w:val="auto"/>
              </w:rPr>
            </w:pPr>
          </w:p>
        </w:tc>
      </w:tr>
      <w:tr>
        <w:trPr>
          <w:trHeight w:val="202"/>
        </w:trPr>
        <w:tc>
          <w:tcPr>
            <w:tcW w:w="8180" w:type="dxa"/>
            <w:vAlign w:val="bottom"/>
          </w:tcPr>
          <w:p>
            <w:pPr>
              <w:ind w:left="7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327,521</w:t>
            </w:r>
          </w:p>
        </w:tc>
        <w:tc>
          <w:tcPr>
            <w:tcW w:w="100" w:type="dxa"/>
            <w:vAlign w:val="bottom"/>
          </w:tcPr>
          <w:p>
            <w:pPr>
              <w:spacing w:after="0"/>
              <w:rPr>
                <w:sz w:val="17"/>
                <w:szCs w:val="17"/>
                <w:color w:val="auto"/>
              </w:rPr>
            </w:pP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302,059</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5240" w:type="dxa"/>
            <w:vAlign w:val="bottom"/>
            <w:gridSpan w:val="4"/>
          </w:tcPr>
          <w:p>
            <w:pPr>
              <w:ind w:left="3500"/>
              <w:spacing w:after="0"/>
              <w:rPr>
                <w:sz w:val="20"/>
                <w:szCs w:val="20"/>
                <w:color w:val="auto"/>
              </w:rPr>
            </w:pPr>
            <w:r>
              <w:rPr>
                <w:rFonts w:ascii="Arial" w:cs="Arial" w:eastAsia="Arial" w:hAnsi="Arial"/>
                <w:sz w:val="18"/>
                <w:szCs w:val="18"/>
                <w:b w:val="1"/>
                <w:bCs w:val="1"/>
                <w:color w:val="auto"/>
              </w:rPr>
              <w:t>BillionToOne,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140" w:type="dxa"/>
            <w:vAlign w:val="bottom"/>
            <w:gridSpan w:val="8"/>
          </w:tcPr>
          <w:p>
            <w:pPr>
              <w:jc w:val="right"/>
              <w:ind w:right="170"/>
              <w:spacing w:after="0"/>
              <w:rPr>
                <w:sz w:val="20"/>
                <w:szCs w:val="20"/>
                <w:color w:val="auto"/>
              </w:rPr>
            </w:pPr>
            <w:r>
              <w:rPr>
                <w:rFonts w:ascii="Arial" w:cs="Arial" w:eastAsia="Arial" w:hAnsi="Arial"/>
                <w:sz w:val="18"/>
                <w:szCs w:val="18"/>
                <w:b w:val="1"/>
                <w:bCs w:val="1"/>
                <w:color w:val="auto"/>
              </w:rPr>
              <w:t>Statements of Operations and Comprehensive Income (Loss)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820" w:type="dxa"/>
            <w:vAlign w:val="bottom"/>
            <w:gridSpan w:val="7"/>
          </w:tcPr>
          <w:p>
            <w:pPr>
              <w:ind w:left="1980"/>
              <w:spacing w:after="0"/>
              <w:rPr>
                <w:sz w:val="20"/>
                <w:szCs w:val="20"/>
                <w:color w:val="auto"/>
              </w:rPr>
            </w:pPr>
            <w:r>
              <w:rPr>
                <w:rFonts w:ascii="Arial" w:cs="Arial" w:eastAsia="Arial" w:hAnsi="Arial"/>
                <w:sz w:val="18"/>
                <w:szCs w:val="18"/>
                <w:b w:val="1"/>
                <w:bCs w:val="1"/>
                <w:color w:val="auto"/>
              </w:rPr>
              <w:t>(in thousands, except per share amounts, unaudited)</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24"/>
                <w:szCs w:val="24"/>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E5E5E5"/>
            </w:tcBorders>
          </w:tcPr>
          <w:p>
            <w:pPr>
              <w:spacing w:after="0"/>
              <w:rPr>
                <w:sz w:val="19"/>
                <w:szCs w:val="19"/>
                <w:color w:val="auto"/>
              </w:rPr>
            </w:pPr>
          </w:p>
        </w:tc>
        <w:tc>
          <w:tcPr>
            <w:tcW w:w="366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83,523</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38,419</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209,059</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107,505</w:t>
            </w:r>
          </w:p>
        </w:tc>
        <w:tc>
          <w:tcPr>
            <w:tcW w:w="0" w:type="dxa"/>
            <w:vAlign w:val="bottom"/>
          </w:tcPr>
          <w:p>
            <w:pPr>
              <w:spacing w:after="0"/>
              <w:rPr>
                <w:sz w:val="1"/>
                <w:szCs w:val="1"/>
                <w:color w:val="auto"/>
              </w:rPr>
            </w:pPr>
          </w:p>
        </w:tc>
      </w:tr>
      <w:tr>
        <w:trPr>
          <w:trHeight w:val="24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52,309</w:t>
            </w:r>
          </w:p>
        </w:tc>
        <w:tc>
          <w:tcPr>
            <w:tcW w:w="0" w:type="dxa"/>
            <w:vAlign w:val="bottom"/>
          </w:tcPr>
          <w:p>
            <w:pPr>
              <w:spacing w:after="0"/>
              <w:rPr>
                <w:sz w:val="1"/>
                <w:szCs w:val="1"/>
                <w:color w:val="auto"/>
              </w:rPr>
            </w:pPr>
          </w:p>
        </w:tc>
      </w:tr>
      <w:tr>
        <w:trPr>
          <w:trHeight w:val="23"/>
        </w:trPr>
        <w:tc>
          <w:tcPr>
            <w:tcW w:w="5020" w:type="dxa"/>
            <w:vAlign w:val="bottom"/>
            <w:tcBorders>
              <w:bottom w:val="single" w:sz="8" w:color="E5E5E5"/>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E5E5E5"/>
            </w:tcBorders>
            <w:gridSpan w:val="2"/>
            <w:shd w:val="clear" w:color="auto" w:fill="E5E5E5"/>
          </w:tcPr>
          <w:p>
            <w:pPr>
              <w:ind w:left="7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58,416</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139,854</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55,196</w:t>
            </w:r>
          </w:p>
        </w:tc>
        <w:tc>
          <w:tcPr>
            <w:tcW w:w="0" w:type="dxa"/>
            <w:vAlign w:val="bottom"/>
          </w:tcPr>
          <w:p>
            <w:pPr>
              <w:spacing w:after="0"/>
              <w:rPr>
                <w:sz w:val="1"/>
                <w:szCs w:val="1"/>
                <w:color w:val="auto"/>
              </w:rPr>
            </w:pPr>
          </w:p>
        </w:tc>
      </w:tr>
      <w:tr>
        <w:trPr>
          <w:trHeight w:val="281"/>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35,134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47"/>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65,050</w:t>
            </w:r>
          </w:p>
        </w:tc>
        <w:tc>
          <w:tcPr>
            <w:tcW w:w="0" w:type="dxa"/>
            <w:vAlign w:val="bottom"/>
          </w:tcPr>
          <w:p>
            <w:pPr>
              <w:spacing w:after="0"/>
              <w:rPr>
                <w:sz w:val="1"/>
                <w:szCs w:val="1"/>
                <w:color w:val="auto"/>
              </w:rPr>
            </w:pPr>
          </w:p>
        </w:tc>
      </w:tr>
      <w:tr>
        <w:trPr>
          <w:trHeight w:val="23"/>
        </w:trPr>
        <w:tc>
          <w:tcPr>
            <w:tcW w:w="5020" w:type="dxa"/>
            <w:vAlign w:val="bottom"/>
            <w:tcBorders>
              <w:bottom w:val="single" w:sz="8" w:color="E5E5E5"/>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E5E5E5"/>
            </w:tcBorders>
            <w:gridSpan w:val="2"/>
            <w:shd w:val="clear" w:color="auto" w:fill="E5E5E5"/>
          </w:tcPr>
          <w:p>
            <w:pPr>
              <w:ind w:left="7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48,783</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32,849</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134,163</w:t>
            </w: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spacing w:after="0"/>
              <w:rPr>
                <w:sz w:val="22"/>
                <w:szCs w:val="22"/>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90,650</w:t>
            </w:r>
          </w:p>
        </w:tc>
        <w:tc>
          <w:tcPr>
            <w:tcW w:w="0" w:type="dxa"/>
            <w:vAlign w:val="bottom"/>
          </w:tcPr>
          <w:p>
            <w:pPr>
              <w:spacing w:after="0"/>
              <w:rPr>
                <w:sz w:val="1"/>
                <w:szCs w:val="1"/>
                <w:color w:val="auto"/>
              </w:rPr>
            </w:pPr>
          </w:p>
        </w:tc>
      </w:tr>
      <w:tr>
        <w:trPr>
          <w:trHeight w:val="241"/>
        </w:trPr>
        <w:tc>
          <w:tcPr>
            <w:tcW w:w="5020" w:type="dxa"/>
            <w:vAlign w:val="bottom"/>
            <w:gridSpan w:val="2"/>
          </w:tcPr>
          <w:p>
            <w:pPr>
              <w:ind w:left="76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(35,454)</w:t>
            </w:r>
          </w:p>
        </w:tc>
        <w:tc>
          <w:tcPr>
            <w:tcW w:w="0" w:type="dxa"/>
            <w:vAlign w:val="bottom"/>
          </w:tcPr>
          <w:p>
            <w:pPr>
              <w:spacing w:after="0"/>
              <w:rPr>
                <w:sz w:val="1"/>
                <w:szCs w:val="1"/>
                <w:color w:val="auto"/>
              </w:rPr>
            </w:pPr>
          </w:p>
        </w:tc>
      </w:tr>
      <w:tr>
        <w:trPr>
          <w:trHeight w:val="77"/>
        </w:trPr>
        <w:tc>
          <w:tcPr>
            <w:tcW w:w="502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7"/>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Net (loss) gain on extinguishment of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8"/>
                <w:szCs w:val="18"/>
                <w:color w:val="auto"/>
              </w:rPr>
              <w:t>Change in fair value of term loan</w:t>
            </w: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47"/>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convertible notes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0"/>
        </w:trPr>
        <w:tc>
          <w:tcPr>
            <w:tcW w:w="5020" w:type="dxa"/>
            <w:vAlign w:val="bottom"/>
            <w:gridSpan w:val="2"/>
          </w:tcPr>
          <w:p>
            <w:pPr>
              <w:ind w:left="76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3"/>
        </w:trPr>
        <w:tc>
          <w:tcPr>
            <w:tcW w:w="5020" w:type="dxa"/>
            <w:vAlign w:val="bottom"/>
            <w:tcBorders>
              <w:bottom w:val="single" w:sz="8" w:color="E5E5E5"/>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E5E5E5"/>
            </w:tcBorders>
            <w:shd w:val="clear" w:color="auto" w:fill="E5E5E5"/>
          </w:tcPr>
          <w:p>
            <w:pPr>
              <w:spacing w:after="0"/>
              <w:rPr>
                <w:sz w:val="21"/>
                <w:szCs w:val="21"/>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(30,088)</w:t>
            </w:r>
          </w:p>
        </w:tc>
        <w:tc>
          <w:tcPr>
            <w:tcW w:w="0" w:type="dxa"/>
            <w:vAlign w:val="bottom"/>
          </w:tcPr>
          <w:p>
            <w:pPr>
              <w:spacing w:after="0"/>
              <w:rPr>
                <w:sz w:val="1"/>
                <w:szCs w:val="1"/>
                <w:color w:val="auto"/>
              </w:rPr>
            </w:pPr>
          </w:p>
        </w:tc>
      </w:tr>
      <w:tr>
        <w:trPr>
          <w:trHeight w:val="24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5020" w:type="dxa"/>
            <w:vAlign w:val="bottom"/>
            <w:tcBorders>
              <w:bottom w:val="single" w:sz="8" w:color="E5E5E5"/>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E5E5E5"/>
            </w:tcBorders>
            <w:gridSpan w:val="2"/>
            <w:shd w:val="clear" w:color="auto" w:fill="E5E5E5"/>
          </w:tcPr>
          <w:p>
            <w:pPr>
              <w:ind w:left="760"/>
              <w:spacing w:after="0"/>
              <w:rPr>
                <w:sz w:val="20"/>
                <w:szCs w:val="20"/>
                <w:color w:val="auto"/>
              </w:rPr>
            </w:pPr>
            <w:r>
              <w:rPr>
                <w:rFonts w:ascii="Arial" w:cs="Arial" w:eastAsia="Arial" w:hAnsi="Arial"/>
                <w:sz w:val="18"/>
                <w:szCs w:val="18"/>
                <w:color w:val="auto"/>
              </w:rPr>
              <w:t>Net income (loss) and comprehensive income (loss)</w:t>
            </w: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(30,093)</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tcBorders>
            <w:gridSpan w:val="2"/>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E5E5E5"/>
            </w:tcBorders>
            <w:shd w:val="clear" w:color="auto" w:fill="E5E5E5"/>
          </w:tcPr>
          <w:p>
            <w:pPr>
              <w:spacing w:after="0"/>
              <w:rPr>
                <w:sz w:val="23"/>
                <w:szCs w:val="23"/>
                <w:color w:val="auto"/>
              </w:rPr>
            </w:pP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E5E5E5"/>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8"/>
                <w:szCs w:val="18"/>
                <w:color w:val="auto"/>
              </w:rPr>
              <w:t>Net income (loss) per share, basic and diluted:</w:t>
            </w:r>
          </w:p>
        </w:tc>
        <w:tc>
          <w:tcPr>
            <w:tcW w:w="320" w:type="dxa"/>
            <w:vAlign w:val="bottom"/>
            <w:tcBorders>
              <w:bottom w:val="single" w:sz="8" w:color="E5E5E5"/>
            </w:tcBorders>
            <w:shd w:val="clear" w:color="auto" w:fill="E5E5E5"/>
          </w:tcPr>
          <w:p>
            <w:pPr>
              <w:spacing w:after="0"/>
              <w:rPr>
                <w:sz w:val="20"/>
                <w:szCs w:val="20"/>
                <w:color w:val="auto"/>
              </w:rPr>
            </w:pPr>
          </w:p>
        </w:tc>
        <w:tc>
          <w:tcPr>
            <w:tcW w:w="1160" w:type="dxa"/>
            <w:vAlign w:val="bottom"/>
            <w:tcBorders>
              <w:bottom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E5E5E5"/>
            </w:tcBorders>
            <w:shd w:val="clear" w:color="auto" w:fill="E5E5E5"/>
          </w:tcPr>
          <w:p>
            <w:pPr>
              <w:spacing w:after="0"/>
              <w:rPr>
                <w:sz w:val="20"/>
                <w:szCs w:val="20"/>
                <w:color w:val="auto"/>
              </w:rPr>
            </w:pPr>
          </w:p>
        </w:tc>
        <w:tc>
          <w:tcPr>
            <w:tcW w:w="1160" w:type="dxa"/>
            <w:vAlign w:val="bottom"/>
            <w:tcBorders>
              <w:bottom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E5E5E5"/>
            </w:tcBorders>
            <w:shd w:val="clear" w:color="auto" w:fill="E5E5E5"/>
          </w:tcPr>
          <w:p>
            <w:pPr>
              <w:spacing w:after="0"/>
              <w:rPr>
                <w:sz w:val="20"/>
                <w:szCs w:val="20"/>
                <w:color w:val="auto"/>
              </w:rPr>
            </w:pPr>
          </w:p>
        </w:tc>
        <w:tc>
          <w:tcPr>
            <w:tcW w:w="1160" w:type="dxa"/>
            <w:vAlign w:val="bottom"/>
            <w:tcBorders>
              <w:bottom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E5E5E5"/>
            </w:tcBorders>
            <w:shd w:val="clear" w:color="auto" w:fill="E5E5E5"/>
          </w:tcPr>
          <w:p>
            <w:pPr>
              <w:spacing w:after="0"/>
              <w:rPr>
                <w:sz w:val="20"/>
                <w:szCs w:val="20"/>
                <w:color w:val="auto"/>
              </w:rPr>
            </w:pPr>
          </w:p>
        </w:tc>
        <w:tc>
          <w:tcPr>
            <w:tcW w:w="1160" w:type="dxa"/>
            <w:vAlign w:val="bottom"/>
            <w:tcBorders>
              <w:bottom w:val="single" w:sz="8" w:color="E5E5E5"/>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ind w:left="760"/>
              <w:spacing w:after="0"/>
              <w:rPr>
                <w:sz w:val="20"/>
                <w:szCs w:val="20"/>
                <w:color w:val="auto"/>
              </w:rPr>
            </w:pPr>
            <w:r>
              <w:rPr>
                <w:rFonts w:ascii="Arial" w:cs="Arial" w:eastAsia="Arial" w:hAnsi="Arial"/>
                <w:sz w:val="18"/>
                <w:szCs w:val="18"/>
                <w:color w:val="auto"/>
              </w:rPr>
              <w:t>Net income (loss) per share, 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E5E5E5"/>
            </w:tcBorders>
          </w:tcPr>
          <w:p>
            <w:pPr>
              <w:spacing w:after="0" w:line="20" w:lineRule="exact"/>
              <w:rPr>
                <w:sz w:val="1"/>
                <w:szCs w:val="1"/>
                <w:color w:val="auto"/>
              </w:rPr>
            </w:pPr>
          </w:p>
        </w:tc>
        <w:tc>
          <w:tcPr>
            <w:tcW w:w="366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20" w:type="dxa"/>
            <w:vAlign w:val="bottom"/>
            <w:tcBorders>
              <w:bottom w:val="single" w:sz="8" w:color="E5E5E5"/>
            </w:tcBorders>
            <w:gridSpan w:val="2"/>
            <w:shd w:val="clear" w:color="auto" w:fill="E5E5E5"/>
          </w:tcPr>
          <w:p>
            <w:pPr>
              <w:ind w:left="760"/>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bottom w:val="single" w:sz="8" w:color="E5E5E5"/>
            </w:tcBorders>
            <w:gridSpan w:val="2"/>
            <w:vMerge w:val="restart"/>
          </w:tcPr>
          <w:p>
            <w:pPr>
              <w:ind w:left="20"/>
              <w:spacing w:after="0"/>
              <w:rPr>
                <w:sz w:val="20"/>
                <w:szCs w:val="20"/>
                <w:color w:val="auto"/>
              </w:rPr>
            </w:pPr>
            <w:r>
              <w:rPr>
                <w:rFonts w:ascii="Arial" w:cs="Arial" w:eastAsia="Arial" w:hAnsi="Arial"/>
                <w:sz w:val="18"/>
                <w:szCs w:val="18"/>
                <w:color w:val="auto"/>
              </w:rPr>
              <w:t>Weighted-average shares used in calculating net income</w:t>
            </w: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(loss) per share, basic and diluted: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gridSpan w:val="2"/>
            <w:shd w:val="clear" w:color="auto" w:fill="E5E5E5"/>
          </w:tcPr>
          <w:p>
            <w:pPr>
              <w:ind w:left="1120"/>
              <w:spacing w:after="0"/>
              <w:rPr>
                <w:sz w:val="20"/>
                <w:szCs w:val="20"/>
                <w:color w:val="auto"/>
              </w:rPr>
            </w:pPr>
            <w:r>
              <w:rPr>
                <w:rFonts w:ascii="Arial" w:cs="Arial" w:eastAsia="Arial" w:hAnsi="Arial"/>
                <w:sz w:val="18"/>
                <w:szCs w:val="18"/>
                <w:color w:val="auto"/>
              </w:rPr>
              <w:t>Weighted-average shares used in calculating</w:t>
            </w:r>
          </w:p>
        </w:tc>
        <w:tc>
          <w:tcPr>
            <w:tcW w:w="320" w:type="dxa"/>
            <w:vAlign w:val="bottom"/>
            <w:shd w:val="clear" w:color="auto" w:fill="E5E5E5"/>
          </w:tcPr>
          <w:p>
            <w:pPr>
              <w:spacing w:after="0"/>
              <w:rPr>
                <w:sz w:val="19"/>
                <w:szCs w:val="19"/>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10,429,583</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10,107,487</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10,376,253</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10,049,097</w:t>
            </w:r>
          </w:p>
        </w:tc>
        <w:tc>
          <w:tcPr>
            <w:tcW w:w="0" w:type="dxa"/>
            <w:vAlign w:val="bottom"/>
          </w:tcPr>
          <w:p>
            <w:pPr>
              <w:spacing w:after="0"/>
              <w:rPr>
                <w:sz w:val="1"/>
                <w:szCs w:val="1"/>
                <w:color w:val="auto"/>
              </w:rPr>
            </w:pPr>
          </w:p>
        </w:tc>
      </w:tr>
      <w:tr>
        <w:trPr>
          <w:trHeight w:val="255"/>
        </w:trPr>
        <w:tc>
          <w:tcPr>
            <w:tcW w:w="5020" w:type="dxa"/>
            <w:vAlign w:val="bottom"/>
            <w:tcBorders>
              <w:bottom w:val="single" w:sz="8" w:color="E5E5E5"/>
            </w:tcBorders>
            <w:gridSpan w:val="2"/>
            <w:shd w:val="clear" w:color="auto" w:fill="E5E5E5"/>
          </w:tcPr>
          <w:p>
            <w:pPr>
              <w:ind w:left="1120"/>
              <w:spacing w:after="0"/>
              <w:rPr>
                <w:sz w:val="20"/>
                <w:szCs w:val="20"/>
                <w:color w:val="auto"/>
              </w:rPr>
            </w:pPr>
            <w:r>
              <w:rPr>
                <w:rFonts w:ascii="Arial" w:cs="Arial" w:eastAsia="Arial" w:hAnsi="Arial"/>
                <w:sz w:val="18"/>
                <w:szCs w:val="18"/>
                <w:color w:val="auto"/>
              </w:rPr>
              <w:t>net income (loss) per share, basic</w:t>
            </w:r>
          </w:p>
        </w:tc>
        <w:tc>
          <w:tcPr>
            <w:tcW w:w="32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vMerge w:val="continue"/>
            <w:shd w:val="clear" w:color="auto" w:fill="E5E5E5"/>
          </w:tcPr>
          <w:p>
            <w:pPr>
              <w:spacing w:after="0"/>
              <w:rPr>
                <w:sz w:val="22"/>
                <w:szCs w:val="22"/>
                <w:color w:val="auto"/>
              </w:rPr>
            </w:pP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vMerge w:val="continue"/>
            <w:shd w:val="clear" w:color="auto" w:fill="E5E5E5"/>
          </w:tcPr>
          <w:p>
            <w:pPr>
              <w:spacing w:after="0"/>
              <w:rPr>
                <w:sz w:val="22"/>
                <w:szCs w:val="22"/>
                <w:color w:val="auto"/>
              </w:rPr>
            </w:pP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vMerge w:val="continue"/>
            <w:shd w:val="clear" w:color="auto" w:fill="E5E5E5"/>
          </w:tcPr>
          <w:p>
            <w:pPr>
              <w:spacing w:after="0"/>
              <w:rPr>
                <w:sz w:val="22"/>
                <w:szCs w:val="22"/>
                <w:color w:val="auto"/>
              </w:rPr>
            </w:pPr>
          </w:p>
        </w:tc>
        <w:tc>
          <w:tcPr>
            <w:tcW w:w="10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vMerge w:val="continue"/>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bottom w:val="single" w:sz="8" w:color="E5E5E5"/>
            </w:tcBorders>
            <w:gridSpan w:val="2"/>
            <w:vMerge w:val="restart"/>
          </w:tcPr>
          <w:p>
            <w:pPr>
              <w:ind w:left="1120"/>
              <w:spacing w:after="0"/>
              <w:rPr>
                <w:sz w:val="20"/>
                <w:szCs w:val="20"/>
                <w:color w:val="auto"/>
              </w:rPr>
            </w:pPr>
            <w:r>
              <w:rPr>
                <w:rFonts w:ascii="Arial" w:cs="Arial" w:eastAsia="Arial" w:hAnsi="Arial"/>
                <w:sz w:val="18"/>
                <w:szCs w:val="18"/>
                <w:color w:val="auto"/>
              </w:rPr>
              <w:t>Weighted-average shares used in calculating</w:t>
            </w: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15,571,949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10,107,487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15,117,365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10,049,097</w:t>
            </w:r>
          </w:p>
        </w:tc>
        <w:tc>
          <w:tcPr>
            <w:tcW w:w="0" w:type="dxa"/>
            <w:vAlign w:val="bottom"/>
          </w:tcPr>
          <w:p>
            <w:pPr>
              <w:spacing w:after="0"/>
              <w:rPr>
                <w:sz w:val="1"/>
                <w:szCs w:val="1"/>
                <w:color w:val="auto"/>
              </w:rPr>
            </w:pPr>
          </w:p>
        </w:tc>
      </w:tr>
      <w:tr>
        <w:trPr>
          <w:trHeight w:val="235"/>
        </w:trPr>
        <w:tc>
          <w:tcPr>
            <w:tcW w:w="5020" w:type="dxa"/>
            <w:vAlign w:val="bottom"/>
            <w:gridSpan w:val="2"/>
          </w:tcPr>
          <w:p>
            <w:pPr>
              <w:ind w:left="1120"/>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Statements of Redeemable Convertible Preferred Stock and Stockholders’ Deficit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 unaudited)</w:t>
      </w: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Three Months Ended September 30,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June 30, 2025</w:t>
      </w:r>
    </w:p>
    <w:p>
      <w:pPr>
        <w:spacing w:after="0" w:line="26" w:lineRule="exact"/>
        <w:rPr>
          <w:sz w:val="20"/>
          <w:szCs w:val="20"/>
          <w:color w:val="auto"/>
        </w:rPr>
      </w:pPr>
    </w:p>
    <w:p>
      <w:pPr>
        <w:ind w:left="180" w:hanging="161"/>
        <w:spacing w:after="0" w:line="230" w:lineRule="auto"/>
        <w:rPr>
          <w:sz w:val="20"/>
          <w:szCs w:val="20"/>
          <w:color w:val="auto"/>
        </w:rPr>
      </w:pPr>
      <w:r>
        <w:rPr>
          <w:rFonts w:ascii="Arial" w:cs="Arial" w:eastAsia="Arial" w:hAnsi="Arial"/>
          <w:sz w:val="13"/>
          <w:szCs w:val="13"/>
          <w:color w:val="auto"/>
        </w:rPr>
        <w:t>Issuance of common stock upon exercise of stock options</w:t>
      </w:r>
    </w:p>
    <w:p>
      <w:pPr>
        <w:spacing w:after="0" w:line="24" w:lineRule="exact"/>
        <w:rPr>
          <w:sz w:val="20"/>
          <w:szCs w:val="20"/>
          <w:color w:val="auto"/>
        </w:rPr>
      </w:pPr>
    </w:p>
    <w:p>
      <w:pPr>
        <w:ind w:left="20" w:right="940"/>
        <w:spacing w:after="0" w:line="308" w:lineRule="auto"/>
        <w:rPr>
          <w:sz w:val="20"/>
          <w:szCs w:val="20"/>
          <w:color w:val="auto"/>
        </w:rPr>
      </w:pPr>
      <w:r>
        <w:rPr>
          <w:rFonts w:ascii="Arial" w:cs="Arial" w:eastAsia="Arial" w:hAnsi="Arial"/>
          <w:sz w:val="13"/>
          <w:szCs w:val="13"/>
          <w:color w:val="auto"/>
        </w:rPr>
        <w:t>Stock-based compensation Net income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460" w:type="dxa"/>
            <w:vAlign w:val="bottom"/>
            <w:tcBorders>
              <w:top w:val="single" w:sz="8" w:color="auto"/>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60" w:type="dxa"/>
            <w:vAlign w:val="bottom"/>
            <w:tcBorders>
              <w:right w:val="single" w:sz="8" w:color="auto"/>
            </w:tcBorders>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jc w:val="center"/>
              <w:ind w:right="28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60" w:type="dxa"/>
            <w:vAlign w:val="bottom"/>
          </w:tcPr>
          <w:p>
            <w:pPr>
              <w:jc w:val="center"/>
              <w:ind w:right="8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11,085,044</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36,182</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(286,435)</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(250,253)</w:t>
            </w:r>
          </w:p>
        </w:tc>
        <w:tc>
          <w:tcPr>
            <w:tcW w:w="0" w:type="dxa"/>
            <w:vAlign w:val="bottom"/>
          </w:tcPr>
          <w:p>
            <w:pPr>
              <w:spacing w:after="0"/>
              <w:rPr>
                <w:sz w:val="1"/>
                <w:szCs w:val="1"/>
                <w:color w:val="auto"/>
              </w:rPr>
            </w:pPr>
          </w:p>
        </w:tc>
      </w:tr>
      <w:tr>
        <w:trPr>
          <w:trHeight w:val="283"/>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93,423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76"/>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4,475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4,475</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5,711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5,711</w:t>
            </w:r>
          </w:p>
        </w:tc>
        <w:tc>
          <w:tcPr>
            <w:tcW w:w="0" w:type="dxa"/>
            <w:vAlign w:val="bottom"/>
          </w:tcPr>
          <w:p>
            <w:pPr>
              <w:spacing w:after="0"/>
              <w:rPr>
                <w:sz w:val="1"/>
                <w:szCs w:val="1"/>
                <w:color w:val="auto"/>
              </w:rPr>
            </w:pPr>
          </w:p>
        </w:tc>
      </w:tr>
      <w:tr>
        <w:trPr>
          <w:trHeight w:val="211"/>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11,178,467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41,211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-685165</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-376555</wp:posOffset>
            </wp:positionV>
            <wp:extent cx="713232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-153670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September 30, 2024</w:t>
      </w:r>
    </w:p>
    <w:p>
      <w:pPr>
        <w:spacing w:after="0" w:line="22" w:lineRule="exact"/>
        <w:rPr>
          <w:sz w:val="20"/>
          <w:szCs w:val="20"/>
          <w:color w:val="auto"/>
        </w:rPr>
      </w:pPr>
    </w:p>
    <w:p>
      <w:pPr>
        <w:sectPr>
          <w:pgSz w:w="11900" w:h="16838" w:orient="portrait"/>
          <w:cols w:equalWidth="0" w:num="2">
            <w:col w:w="2480" w:space="100"/>
            <w:col w:w="86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June 30, 2024</w:t>
      </w:r>
    </w:p>
    <w:p>
      <w:pPr>
        <w:spacing w:after="0" w:line="26" w:lineRule="exact"/>
        <w:rPr>
          <w:sz w:val="20"/>
          <w:szCs w:val="20"/>
          <w:color w:val="auto"/>
        </w:rPr>
      </w:pPr>
    </w:p>
    <w:p>
      <w:pPr>
        <w:ind w:left="180" w:hanging="161"/>
        <w:spacing w:after="0" w:line="233" w:lineRule="auto"/>
        <w:rPr>
          <w:sz w:val="20"/>
          <w:szCs w:val="20"/>
          <w:color w:val="auto"/>
        </w:rPr>
      </w:pPr>
      <w:r>
        <w:rPr>
          <w:rFonts w:ascii="Arial" w:cs="Arial" w:eastAsia="Arial" w:hAnsi="Arial"/>
          <w:sz w:val="12"/>
          <w:szCs w:val="12"/>
          <w:color w:val="auto"/>
        </w:rPr>
        <w:t>Issuance of Series D redeemable convertible preferred stock, net of issuance costs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$474</w:t>
      </w:r>
    </w:p>
    <w:p>
      <w:pPr>
        <w:spacing w:after="0" w:line="14" w:lineRule="exact"/>
        <w:rPr>
          <w:sz w:val="20"/>
          <w:szCs w:val="20"/>
          <w:color w:val="auto"/>
        </w:rPr>
      </w:pPr>
    </w:p>
    <w:p>
      <w:pPr>
        <w:ind w:left="180" w:right="60" w:hanging="161"/>
        <w:spacing w:after="0" w:line="230" w:lineRule="auto"/>
        <w:rPr>
          <w:sz w:val="20"/>
          <w:szCs w:val="20"/>
          <w:color w:val="auto"/>
        </w:rPr>
      </w:pPr>
      <w:r>
        <w:rPr>
          <w:rFonts w:ascii="Arial" w:cs="Arial" w:eastAsia="Arial" w:hAnsi="Arial"/>
          <w:sz w:val="13"/>
          <w:szCs w:val="13"/>
          <w:color w:val="auto"/>
        </w:rPr>
        <w:t>Issuance of common stock upon exercise of stock options</w:t>
      </w:r>
    </w:p>
    <w:p>
      <w:pPr>
        <w:spacing w:after="0" w:line="24" w:lineRule="exact"/>
        <w:rPr>
          <w:sz w:val="20"/>
          <w:szCs w:val="20"/>
          <w:color w:val="auto"/>
        </w:rPr>
      </w:pPr>
    </w:p>
    <w:p>
      <w:pPr>
        <w:ind w:left="20" w:right="1000"/>
        <w:spacing w:after="0" w:line="308" w:lineRule="auto"/>
        <w:rPr>
          <w:sz w:val="20"/>
          <w:szCs w:val="20"/>
          <w:color w:val="auto"/>
        </w:rPr>
      </w:pPr>
      <w:r>
        <w:rPr>
          <w:rFonts w:ascii="Arial" w:cs="Arial" w:eastAsia="Arial" w:hAnsi="Arial"/>
          <w:sz w:val="13"/>
          <w:szCs w:val="13"/>
          <w:color w:val="auto"/>
        </w:rPr>
        <w:t>Stock-based compensation Net loss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460" w:type="dxa"/>
            <w:vAlign w:val="bottom"/>
            <w:tcBorders>
              <w:top w:val="single" w:sz="8" w:color="auto"/>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60" w:type="dxa"/>
            <w:vAlign w:val="bottom"/>
            <w:tcBorders>
              <w:right w:val="single" w:sz="8" w:color="auto"/>
            </w:tcBorders>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jc w:val="center"/>
              <w:ind w:right="28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60" w:type="dxa"/>
            <w:vAlign w:val="bottom"/>
          </w:tcPr>
          <w:p>
            <w:pPr>
              <w:jc w:val="center"/>
              <w:ind w:right="8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419,435</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10,778,769</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25,578</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(255,820)</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(230,242)</w:t>
            </w:r>
          </w:p>
        </w:tc>
        <w:tc>
          <w:tcPr>
            <w:tcW w:w="0" w:type="dxa"/>
            <w:vAlign w:val="bottom"/>
          </w:tcPr>
          <w:p>
            <w:pPr>
              <w:spacing w:after="0"/>
              <w:rPr>
                <w:sz w:val="1"/>
                <w:szCs w:val="1"/>
                <w:color w:val="auto"/>
              </w:rPr>
            </w:pPr>
          </w:p>
        </w:tc>
      </w:tr>
      <w:tr>
        <w:trPr>
          <w:trHeight w:val="405"/>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0"/>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29,804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76"/>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2,150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2,150</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(14,904)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(14,904)</w:t>
            </w:r>
          </w:p>
        </w:tc>
        <w:tc>
          <w:tcPr>
            <w:tcW w:w="0" w:type="dxa"/>
            <w:vAlign w:val="bottom"/>
          </w:tcPr>
          <w:p>
            <w:pPr>
              <w:spacing w:after="0"/>
              <w:rPr>
                <w:sz w:val="1"/>
                <w:szCs w:val="1"/>
                <w:color w:val="auto"/>
              </w:rPr>
            </w:pPr>
          </w:p>
        </w:tc>
      </w:tr>
      <w:tr>
        <w:trPr>
          <w:trHeight w:val="211"/>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10,808,573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27,870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(270,724)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-959485</wp:posOffset>
            </wp:positionV>
            <wp:extent cx="71323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-573405</wp:posOffset>
            </wp:positionV>
            <wp:extent cx="713232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-264795</wp:posOffset>
            </wp:positionV>
            <wp:extent cx="713232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40"/>
            <w:col w:w="86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2024</w:t>
      </w:r>
    </w:p>
    <w:p>
      <w:pPr>
        <w:spacing w:after="0" w:line="26" w:lineRule="exact"/>
        <w:rPr>
          <w:sz w:val="20"/>
          <w:szCs w:val="20"/>
          <w:color w:val="auto"/>
        </w:rPr>
      </w:pPr>
    </w:p>
    <w:p>
      <w:pPr>
        <w:ind w:left="180" w:hanging="161"/>
        <w:spacing w:after="0" w:line="230" w:lineRule="auto"/>
        <w:rPr>
          <w:sz w:val="20"/>
          <w:szCs w:val="20"/>
          <w:color w:val="auto"/>
        </w:rPr>
      </w:pPr>
      <w:r>
        <w:rPr>
          <w:rFonts w:ascii="Arial" w:cs="Arial" w:eastAsia="Arial" w:hAnsi="Arial"/>
          <w:sz w:val="13"/>
          <w:szCs w:val="13"/>
          <w:color w:val="auto"/>
        </w:rPr>
        <w:t>Issuance of common stock upon exercise of stock options</w:t>
      </w:r>
    </w:p>
    <w:p>
      <w:pPr>
        <w:spacing w:after="0" w:line="24" w:lineRule="exact"/>
        <w:rPr>
          <w:sz w:val="20"/>
          <w:szCs w:val="20"/>
          <w:color w:val="auto"/>
        </w:rPr>
      </w:pPr>
    </w:p>
    <w:p>
      <w:pPr>
        <w:ind w:left="20" w:right="940"/>
        <w:spacing w:after="0" w:line="308" w:lineRule="auto"/>
        <w:rPr>
          <w:sz w:val="20"/>
          <w:szCs w:val="20"/>
          <w:color w:val="auto"/>
        </w:rPr>
      </w:pPr>
      <w:r>
        <w:rPr>
          <w:rFonts w:ascii="Arial" w:cs="Arial" w:eastAsia="Arial" w:hAnsi="Arial"/>
          <w:sz w:val="13"/>
          <w:szCs w:val="13"/>
          <w:color w:val="auto"/>
        </w:rPr>
        <w:t>Stock-based compensation Net income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60" w:type="dxa"/>
            <w:vAlign w:val="bottom"/>
            <w:tcBorders>
              <w:top w:val="single" w:sz="8" w:color="auto"/>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60" w:type="dxa"/>
            <w:vAlign w:val="bottom"/>
            <w:tcBorders>
              <w:right w:val="single" w:sz="8" w:color="auto"/>
            </w:tcBorders>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jc w:val="center"/>
              <w:ind w:right="28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60" w:type="dxa"/>
            <w:vAlign w:val="bottom"/>
          </w:tcPr>
          <w:p>
            <w:pPr>
              <w:jc w:val="center"/>
              <w:ind w:right="8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10,925,950</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30,545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(282,201)</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(251,656)</w:t>
            </w:r>
          </w:p>
        </w:tc>
        <w:tc>
          <w:tcPr>
            <w:tcW w:w="0" w:type="dxa"/>
            <w:vAlign w:val="bottom"/>
          </w:tcPr>
          <w:p>
            <w:pPr>
              <w:spacing w:after="0"/>
              <w:rPr>
                <w:sz w:val="1"/>
                <w:szCs w:val="1"/>
                <w:color w:val="auto"/>
              </w:rPr>
            </w:pPr>
          </w:p>
        </w:tc>
      </w:tr>
      <w:tr>
        <w:trPr>
          <w:trHeight w:val="283"/>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252,517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1,085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75"/>
        </w:trPr>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3"/>
                <w:szCs w:val="13"/>
                <w:color w:val="auto"/>
              </w:rPr>
              <w:t>9,581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3"/>
                <w:szCs w:val="13"/>
                <w:color w:val="auto"/>
              </w:rPr>
              <w:t>9,581</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1,477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211"/>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11,178,467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41,211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-685165</wp:posOffset>
            </wp:positionV>
            <wp:extent cx="71323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-376555</wp:posOffset>
            </wp:positionV>
            <wp:extent cx="713232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-153670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100"/>
            <w:col w:w="86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b w:val="1"/>
                <w:bCs w:val="1"/>
                <w:color w:val="auto"/>
              </w:rPr>
              <w:t>Nine Months Ended September 30, 2024</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4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5"/>
                <w:szCs w:val="15"/>
                <w:color w:val="auto"/>
              </w:rPr>
            </w:pPr>
          </w:p>
        </w:tc>
        <w:tc>
          <w:tcPr>
            <w:tcW w:w="2140" w:type="dxa"/>
            <w:vAlign w:val="bottom"/>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460" w:type="dxa"/>
            <w:vAlign w:val="bottom"/>
            <w:tcBorders>
              <w:right w:val="single" w:sz="8" w:color="auto"/>
            </w:tcBorders>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jc w:val="center"/>
              <w:ind w:right="28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60" w:type="dxa"/>
            <w:vAlign w:val="bottom"/>
          </w:tcPr>
          <w:p>
            <w:pPr>
              <w:jc w:val="center"/>
              <w:ind w:right="8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8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54"/>
        </w:trPr>
        <w:tc>
          <w:tcPr>
            <w:tcW w:w="258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22,701,179</w:t>
            </w:r>
          </w:p>
        </w:tc>
        <w:tc>
          <w:tcPr>
            <w:tcW w:w="10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249,527</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10,572,061</w:t>
            </w:r>
          </w:p>
        </w:tc>
        <w:tc>
          <w:tcPr>
            <w:tcW w:w="100" w:type="dxa"/>
            <w:vAlign w:val="bottom"/>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21,578</w:t>
            </w:r>
          </w:p>
        </w:tc>
        <w:tc>
          <w:tcPr>
            <w:tcW w:w="10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(240,631)</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(219,053)</w:t>
            </w:r>
          </w:p>
        </w:tc>
        <w:tc>
          <w:tcPr>
            <w:tcW w:w="0" w:type="dxa"/>
            <w:vAlign w:val="bottom"/>
          </w:tcPr>
          <w:p>
            <w:pPr>
              <w:spacing w:after="0"/>
              <w:rPr>
                <w:sz w:val="1"/>
                <w:szCs w:val="1"/>
                <w:color w:val="auto"/>
              </w:rPr>
            </w:pPr>
          </w:p>
        </w:tc>
      </w:tr>
      <w:tr>
        <w:trPr>
          <w:trHeight w:val="102"/>
        </w:trPr>
        <w:tc>
          <w:tcPr>
            <w:tcW w:w="2580" w:type="dxa"/>
            <w:vAlign w:val="bottom"/>
          </w:tcPr>
          <w:p>
            <w:pPr>
              <w:ind w:left="20"/>
              <w:spacing w:after="0" w:line="102" w:lineRule="exact"/>
              <w:rPr>
                <w:sz w:val="20"/>
                <w:szCs w:val="20"/>
                <w:color w:val="auto"/>
              </w:rPr>
            </w:pPr>
            <w:r>
              <w:rPr>
                <w:rFonts w:ascii="Arial" w:cs="Arial" w:eastAsia="Arial" w:hAnsi="Arial"/>
                <w:sz w:val="10"/>
                <w:szCs w:val="10"/>
                <w:color w:val="auto"/>
              </w:rPr>
              <w:t>Issuance of Series C-1 redeemable</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180"/>
              <w:spacing w:after="0" w:line="131" w:lineRule="exact"/>
              <w:rPr>
                <w:sz w:val="20"/>
                <w:szCs w:val="20"/>
                <w:color w:val="auto"/>
              </w:rPr>
            </w:pPr>
            <w:r>
              <w:rPr>
                <w:rFonts w:ascii="Arial" w:cs="Arial" w:eastAsia="Arial" w:hAnsi="Arial"/>
                <w:sz w:val="13"/>
                <w:szCs w:val="13"/>
                <w:color w:val="auto"/>
              </w:rPr>
              <w:t>convertible preferred stock upon</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80" w:type="dxa"/>
            <w:vAlign w:val="bottom"/>
          </w:tcPr>
          <w:p>
            <w:pPr>
              <w:ind w:left="180"/>
              <w:spacing w:after="0"/>
              <w:rPr>
                <w:sz w:val="20"/>
                <w:szCs w:val="20"/>
                <w:color w:val="auto"/>
              </w:rPr>
            </w:pPr>
            <w:r>
              <w:rPr>
                <w:rFonts w:ascii="Arial" w:cs="Arial" w:eastAsia="Arial" w:hAnsi="Arial"/>
                <w:sz w:val="13"/>
                <w:szCs w:val="13"/>
                <w:color w:val="auto"/>
              </w:rPr>
              <w:t>conversion of Convertible Notes</w:t>
            </w:r>
          </w:p>
        </w:tc>
        <w:tc>
          <w:tcPr>
            <w:tcW w:w="1140" w:type="dxa"/>
            <w:vAlign w:val="bottom"/>
          </w:tcPr>
          <w:p>
            <w:pPr>
              <w:jc w:val="right"/>
              <w:spacing w:after="0"/>
              <w:rPr>
                <w:sz w:val="20"/>
                <w:szCs w:val="20"/>
                <w:color w:val="auto"/>
              </w:rPr>
            </w:pPr>
            <w:r>
              <w:rPr>
                <w:rFonts w:ascii="Arial" w:cs="Arial" w:eastAsia="Arial" w:hAnsi="Arial"/>
                <w:sz w:val="13"/>
                <w:szCs w:val="13"/>
                <w:color w:val="auto"/>
              </w:rPr>
              <w:t>1,726,823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39,886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580" w:type="dxa"/>
            <w:vAlign w:val="bottom"/>
            <w:shd w:val="clear" w:color="auto" w:fill="DBDBDB"/>
          </w:tcPr>
          <w:p>
            <w:pPr>
              <w:ind w:left="20"/>
              <w:spacing w:after="0" w:line="129" w:lineRule="exact"/>
              <w:rPr>
                <w:sz w:val="20"/>
                <w:szCs w:val="20"/>
                <w:color w:val="auto"/>
              </w:rPr>
            </w:pPr>
            <w:r>
              <w:rPr>
                <w:rFonts w:ascii="Arial" w:cs="Arial" w:eastAsia="Arial" w:hAnsi="Arial"/>
                <w:sz w:val="13"/>
                <w:szCs w:val="13"/>
                <w:color w:val="auto"/>
                <w:w w:val="98"/>
              </w:rPr>
              <w:t>Issuance of Series D redeemable convertible</w:t>
            </w:r>
          </w:p>
        </w:tc>
        <w:tc>
          <w:tcPr>
            <w:tcW w:w="11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100" w:type="dxa"/>
            <w:vAlign w:val="bottom"/>
            <w:tcBorders>
              <w:right w:val="single" w:sz="8" w:color="auto"/>
            </w:tcBorders>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DBDBDB"/>
          </w:tcPr>
          <w:p>
            <w:pPr>
              <w:ind w:left="180"/>
              <w:spacing w:after="0" w:line="131" w:lineRule="exact"/>
              <w:rPr>
                <w:sz w:val="20"/>
                <w:szCs w:val="20"/>
                <w:color w:val="auto"/>
              </w:rPr>
            </w:pPr>
            <w:r>
              <w:rPr>
                <w:rFonts w:ascii="Arial" w:cs="Arial" w:eastAsia="Arial" w:hAnsi="Arial"/>
                <w:sz w:val="13"/>
                <w:szCs w:val="13"/>
                <w:color w:val="auto"/>
              </w:rPr>
              <w:t>preferred stock, net of issuance costs of</w:t>
            </w:r>
          </w:p>
        </w:tc>
        <w:tc>
          <w:tcPr>
            <w:tcW w:w="11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100" w:type="dxa"/>
            <w:vAlign w:val="bottom"/>
            <w:tcBorders>
              <w:right w:val="single" w:sz="8" w:color="auto"/>
            </w:tcBorders>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$474</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4,656,233</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129,996</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58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upon exercise of</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263,262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82"/>
        </w:trPr>
        <w:tc>
          <w:tcPr>
            <w:tcW w:w="2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6,055</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6,055</w:t>
            </w: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(26,750)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80"/>
        </w:trPr>
        <w:tc>
          <w:tcPr>
            <w:tcW w:w="2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Vesting of early exercises</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right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(30,093)</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(30,093)</w:t>
            </w:r>
          </w:p>
        </w:tc>
        <w:tc>
          <w:tcPr>
            <w:tcW w:w="0" w:type="dxa"/>
            <w:vAlign w:val="bottom"/>
          </w:tcPr>
          <w:p>
            <w:pPr>
              <w:spacing w:after="0"/>
              <w:rPr>
                <w:sz w:val="1"/>
                <w:szCs w:val="1"/>
                <w:color w:val="auto"/>
              </w:rPr>
            </w:pPr>
          </w:p>
        </w:tc>
      </w:tr>
      <w:tr>
        <w:trPr>
          <w:trHeight w:val="199"/>
        </w:trPr>
        <w:tc>
          <w:tcPr>
            <w:tcW w:w="2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Balance at September 30, 2024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29,084,235</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419,409</w:t>
            </w:r>
          </w:p>
        </w:tc>
        <w:tc>
          <w:tcPr>
            <w:tcW w:w="100" w:type="dxa"/>
            <w:vAlign w:val="bottom"/>
            <w:tcBorders>
              <w:bottom w:val="single" w:sz="8" w:color="DBDBDB"/>
              <w:right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10,808,573</w:t>
            </w:r>
          </w:p>
        </w:tc>
        <w:tc>
          <w:tcPr>
            <w:tcW w:w="1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75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27,870</w:t>
            </w: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(270,724)</w:t>
            </w: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(242,854)</w:t>
            </w:r>
          </w:p>
        </w:tc>
        <w:tc>
          <w:tcPr>
            <w:tcW w:w="0" w:type="dxa"/>
            <w:vAlign w:val="bottom"/>
          </w:tcPr>
          <w:p>
            <w:pPr>
              <w:spacing w:after="0"/>
              <w:rPr>
                <w:sz w:val="1"/>
                <w:szCs w:val="1"/>
                <w:color w:val="auto"/>
              </w:rPr>
            </w:pPr>
          </w:p>
        </w:tc>
      </w:tr>
      <w:tr>
        <w:trPr>
          <w:trHeight w:val="20"/>
        </w:trPr>
        <w:tc>
          <w:tcPr>
            <w:tcW w:w="2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35"/>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E5E5E5"/>
          </w:tcPr>
          <w:p>
            <w:pPr>
              <w:spacing w:after="0"/>
              <w:rPr>
                <w:sz w:val="23"/>
                <w:szCs w:val="23"/>
                <w:color w:val="auto"/>
              </w:rPr>
            </w:pPr>
          </w:p>
        </w:tc>
        <w:tc>
          <w:tcPr>
            <w:tcW w:w="12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6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(30,093)</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5,241</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Amortization of debt issuance costs and accretion of exit fees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Debt issuance costs on term loan expensed upon election of fair value option</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453</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Amortization of operating right-of-use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Change in fair value of common stock warrant liability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Net gain on extinguishment of debt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(7,289)</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Change in fair value of convertible notes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835</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Change in fair value of term loan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i w:val="1"/>
                <w:iCs w:val="1"/>
                <w:color w:val="auto"/>
              </w:rPr>
              <w:t>Changes in operating assets and liabilities: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r>
      <w:tr>
        <w:trPr>
          <w:trHeight w:val="247"/>
        </w:trPr>
        <w:tc>
          <w:tcPr>
            <w:tcW w:w="8140" w:type="dxa"/>
            <w:vAlign w:val="bottom"/>
          </w:tcPr>
          <w:p>
            <w:pPr>
              <w:ind w:left="8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(13,741)</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(644)</w:t>
            </w:r>
          </w:p>
        </w:tc>
      </w:tr>
      <w:tr>
        <w:trPr>
          <w:trHeight w:val="247"/>
        </w:trPr>
        <w:tc>
          <w:tcPr>
            <w:tcW w:w="8140" w:type="dxa"/>
            <w:vAlign w:val="bottom"/>
          </w:tcPr>
          <w:p>
            <w:pPr>
              <w:ind w:left="8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(3,110)</w:t>
            </w:r>
          </w:p>
        </w:tc>
      </w:tr>
      <w:tr>
        <w:trPr>
          <w:trHeight w:val="247"/>
        </w:trPr>
        <w:tc>
          <w:tcPr>
            <w:tcW w:w="8140" w:type="dxa"/>
            <w:vAlign w:val="bottom"/>
          </w:tcPr>
          <w:p>
            <w:pPr>
              <w:ind w:left="8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2,223</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882</w:t>
            </w:r>
          </w:p>
        </w:tc>
      </w:tr>
      <w:tr>
        <w:trPr>
          <w:trHeight w:val="247"/>
        </w:trPr>
        <w:tc>
          <w:tcPr>
            <w:tcW w:w="8140" w:type="dxa"/>
            <w:vAlign w:val="bottom"/>
          </w:tcPr>
          <w:p>
            <w:pPr>
              <w:ind w:left="840"/>
              <w:spacing w:after="0"/>
              <w:rPr>
                <w:sz w:val="20"/>
                <w:szCs w:val="20"/>
                <w:color w:val="auto"/>
              </w:rPr>
            </w:pPr>
            <w:r>
              <w:rPr>
                <w:rFonts w:ascii="Arial" w:cs="Arial" w:eastAsia="Arial" w:hAnsi="Arial"/>
                <w:sz w:val="18"/>
                <w:szCs w:val="18"/>
                <w:color w:val="auto"/>
              </w:rPr>
              <w:t>Accrued commissions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3,306</w:t>
            </w:r>
          </w:p>
        </w:tc>
      </w:tr>
      <w:tr>
        <w:trPr>
          <w:trHeight w:val="247"/>
        </w:trPr>
        <w:tc>
          <w:tcPr>
            <w:tcW w:w="8140" w:type="dxa"/>
            <w:vAlign w:val="bottom"/>
          </w:tcPr>
          <w:p>
            <w:pPr>
              <w:ind w:left="8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E5E5E5"/>
            </w:tcBorders>
            <w:shd w:val="clear" w:color="auto" w:fill="E5E5E5"/>
          </w:tcPr>
          <w:p>
            <w:pPr>
              <w:spacing w:after="0"/>
              <w:rPr>
                <w:sz w:val="23"/>
                <w:szCs w:val="23"/>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E5E5E5"/>
            </w:tcBorders>
            <w:shd w:val="clear" w:color="auto" w:fill="E5E5E5"/>
          </w:tcPr>
          <w:p>
            <w:pPr>
              <w:spacing w:after="0"/>
              <w:rPr>
                <w:sz w:val="23"/>
                <w:szCs w:val="23"/>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(2,787)</w:t>
            </w:r>
          </w:p>
        </w:tc>
      </w:tr>
      <w:tr>
        <w:trPr>
          <w:trHeight w:val="240"/>
        </w:trPr>
        <w:tc>
          <w:tcPr>
            <w:tcW w:w="8140" w:type="dxa"/>
            <w:vAlign w:val="bottom"/>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(32,952)</w:t>
            </w:r>
          </w:p>
        </w:tc>
      </w:tr>
      <w:tr>
        <w:trPr>
          <w:trHeight w:val="23"/>
        </w:trPr>
        <w:tc>
          <w:tcPr>
            <w:tcW w:w="8140" w:type="dxa"/>
            <w:vAlign w:val="bottom"/>
            <w:tcBorders>
              <w:bottom w:val="single" w:sz="8" w:color="E5E5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E5E5E5"/>
          </w:tcPr>
          <w:p>
            <w:pPr>
              <w:spacing w:after="0"/>
              <w:rPr>
                <w:sz w:val="21"/>
                <w:szCs w:val="21"/>
                <w:color w:val="auto"/>
              </w:rPr>
            </w:pPr>
          </w:p>
        </w:tc>
        <w:tc>
          <w:tcPr>
            <w:tcW w:w="12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3"/>
        </w:trPr>
        <w:tc>
          <w:tcPr>
            <w:tcW w:w="8140" w:type="dxa"/>
            <w:vAlign w:val="bottom"/>
            <w:tcBorders>
              <w:bottom w:val="single" w:sz="8" w:color="E5E5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(3,328)</w:t>
            </w:r>
          </w:p>
        </w:tc>
      </w:tr>
      <w:tr>
        <w:trPr>
          <w:trHeight w:val="20"/>
        </w:trPr>
        <w:tc>
          <w:tcPr>
            <w:tcW w:w="8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35"/>
        </w:trPr>
        <w:tc>
          <w:tcPr>
            <w:tcW w:w="7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E5E5E5"/>
          </w:tcPr>
          <w:p>
            <w:pPr>
              <w:spacing w:after="0"/>
              <w:rPr>
                <w:sz w:val="23"/>
                <w:szCs w:val="23"/>
                <w:color w:val="auto"/>
              </w:rPr>
            </w:pPr>
          </w:p>
        </w:tc>
        <w:tc>
          <w:tcPr>
            <w:tcW w:w="1220" w:type="dxa"/>
            <w:vAlign w:val="bottom"/>
            <w:shd w:val="clear" w:color="auto" w:fill="E5E5E5"/>
          </w:tcPr>
          <w:p>
            <w:pPr>
              <w:spacing w:after="0"/>
              <w:rPr>
                <w:sz w:val="23"/>
                <w:szCs w:val="23"/>
                <w:color w:val="auto"/>
              </w:rPr>
            </w:pPr>
          </w:p>
        </w:tc>
        <w:tc>
          <w:tcPr>
            <w:tcW w:w="8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80" w:type="dxa"/>
            <w:vAlign w:val="bottom"/>
            <w:shd w:val="clear" w:color="auto" w:fill="E5E5E5"/>
          </w:tcPr>
          <w:p>
            <w:pPr>
              <w:spacing w:after="0"/>
              <w:rPr>
                <w:sz w:val="23"/>
                <w:szCs w:val="23"/>
                <w:color w:val="auto"/>
              </w:rPr>
            </w:pP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issuance of debt,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49,775</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Repayment of debt upon extinguishment</w:t>
            </w:r>
          </w:p>
        </w:tc>
        <w:tc>
          <w:tcPr>
            <w:tcW w:w="28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(35,000)</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Payment of exit fee and prepayment payable upon debt extinguishment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(1,688)</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Principal payments on finance lease liabilities</w:t>
            </w:r>
          </w:p>
        </w:tc>
        <w:tc>
          <w:tcPr>
            <w:tcW w:w="28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(1,785)</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Repurchase of common stock outstanding</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Payment of debt issuance costs on term loan</w:t>
            </w:r>
          </w:p>
        </w:tc>
        <w:tc>
          <w:tcPr>
            <w:tcW w:w="28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(228)</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Proceeds from exercise of stock options, net of repurchases</w:t>
            </w:r>
          </w:p>
        </w:tc>
        <w:tc>
          <w:tcPr>
            <w:tcW w:w="28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781</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issuance of Series D redeemable convertible preferred stock, net of issuance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129,996</w:t>
            </w:r>
          </w:p>
        </w:tc>
      </w:tr>
      <w:tr>
        <w:trPr>
          <w:trHeight w:val="23"/>
        </w:trPr>
        <w:tc>
          <w:tcPr>
            <w:tcW w:w="7980" w:type="dxa"/>
            <w:vAlign w:val="bottom"/>
            <w:tcBorders>
              <w:bottom w:val="single" w:sz="8" w:color="E5E5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E5E5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E5E5E5"/>
            </w:tcBorders>
            <w:shd w:val="clear" w:color="auto" w:fill="E5E5E5"/>
          </w:tcPr>
          <w:p>
            <w:pPr>
              <w:spacing w:after="0"/>
              <w:rPr>
                <w:sz w:val="22"/>
                <w:szCs w:val="22"/>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(2,784)</w:t>
            </w:r>
          </w:p>
        </w:tc>
        <w:tc>
          <w:tcPr>
            <w:tcW w:w="80" w:type="dxa"/>
            <w:vAlign w:val="bottom"/>
            <w:tcBorders>
              <w:bottom w:val="single" w:sz="8" w:color="E5E5E5"/>
            </w:tcBorders>
            <w:shd w:val="clear" w:color="auto" w:fill="E5E5E5"/>
          </w:tcPr>
          <w:p>
            <w:pPr>
              <w:spacing w:after="0"/>
              <w:rPr>
                <w:sz w:val="22"/>
                <w:szCs w:val="22"/>
                <w:color w:val="auto"/>
              </w:rPr>
            </w:pPr>
          </w:p>
        </w:tc>
        <w:tc>
          <w:tcPr>
            <w:tcW w:w="400" w:type="dxa"/>
            <w:vAlign w:val="bottom"/>
            <w:tcBorders>
              <w:bottom w:val="single" w:sz="8" w:color="E5E5E5"/>
            </w:tcBorders>
            <w:shd w:val="clear" w:color="auto" w:fill="E5E5E5"/>
          </w:tcPr>
          <w:p>
            <w:pPr>
              <w:spacing w:after="0"/>
              <w:rPr>
                <w:sz w:val="22"/>
                <w:szCs w:val="22"/>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141,305</w:t>
            </w:r>
          </w:p>
        </w:tc>
      </w:tr>
      <w:tr>
        <w:trPr>
          <w:trHeight w:val="241"/>
        </w:trPr>
        <w:tc>
          <w:tcPr>
            <w:tcW w:w="7980" w:type="dxa"/>
            <w:vAlign w:val="bottom"/>
          </w:tcPr>
          <w:p>
            <w:pPr>
              <w:ind w:left="4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105,025</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E5E5E5"/>
            </w:tcBorders>
            <w:shd w:val="clear" w:color="auto" w:fill="E5E5E5"/>
          </w:tcPr>
          <w:p>
            <w:pPr>
              <w:spacing w:after="0"/>
              <w:rPr>
                <w:sz w:val="23"/>
                <w:szCs w:val="23"/>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191,477</w:t>
            </w:r>
          </w:p>
        </w:tc>
        <w:tc>
          <w:tcPr>
            <w:tcW w:w="80" w:type="dxa"/>
            <w:vAlign w:val="bottom"/>
            <w:tcBorders>
              <w:bottom w:val="single" w:sz="8" w:color="E5E5E5"/>
            </w:tcBorders>
            <w:shd w:val="clear" w:color="auto" w:fill="E5E5E5"/>
          </w:tcPr>
          <w:p>
            <w:pPr>
              <w:spacing w:after="0"/>
              <w:rPr>
                <w:sz w:val="23"/>
                <w:szCs w:val="23"/>
                <w:color w:val="auto"/>
              </w:rPr>
            </w:pPr>
          </w:p>
        </w:tc>
        <w:tc>
          <w:tcPr>
            <w:tcW w:w="400" w:type="dxa"/>
            <w:vAlign w:val="bottom"/>
            <w:tcBorders>
              <w:bottom w:val="single" w:sz="8" w:color="E5E5E5"/>
            </w:tcBorders>
            <w:shd w:val="clear" w:color="auto" w:fill="E5E5E5"/>
          </w:tcPr>
          <w:p>
            <w:pPr>
              <w:spacing w:after="0"/>
              <w:rPr>
                <w:sz w:val="23"/>
                <w:szCs w:val="23"/>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97,268</w:t>
            </w:r>
          </w:p>
        </w:tc>
      </w:tr>
      <w:tr>
        <w:trPr>
          <w:trHeight w:val="241"/>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195,152</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202,293</w:t>
            </w:r>
          </w:p>
        </w:tc>
      </w:tr>
      <w:tr>
        <w:trPr>
          <w:trHeight w:val="23"/>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6"/>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Supplemental cash flow disclosure:</w:t>
            </w:r>
          </w:p>
        </w:tc>
        <w:tc>
          <w:tcPr>
            <w:tcW w:w="280" w:type="dxa"/>
            <w:vAlign w:val="bottom"/>
            <w:shd w:val="clear" w:color="auto" w:fill="E5E5E5"/>
          </w:tcPr>
          <w:p>
            <w:pPr>
              <w:spacing w:after="0"/>
              <w:rPr>
                <w:sz w:val="23"/>
                <w:szCs w:val="23"/>
                <w:color w:val="auto"/>
              </w:rPr>
            </w:pPr>
          </w:p>
        </w:tc>
        <w:tc>
          <w:tcPr>
            <w:tcW w:w="1220" w:type="dxa"/>
            <w:vAlign w:val="bottom"/>
            <w:shd w:val="clear" w:color="auto" w:fill="E5E5E5"/>
          </w:tcPr>
          <w:p>
            <w:pPr>
              <w:spacing w:after="0"/>
              <w:rPr>
                <w:sz w:val="23"/>
                <w:szCs w:val="23"/>
                <w:color w:val="auto"/>
              </w:rPr>
            </w:pPr>
          </w:p>
        </w:tc>
        <w:tc>
          <w:tcPr>
            <w:tcW w:w="8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80" w:type="dxa"/>
            <w:vAlign w:val="bottom"/>
            <w:shd w:val="clear" w:color="auto" w:fill="E5E5E5"/>
          </w:tcPr>
          <w:p>
            <w:pPr>
              <w:spacing w:after="0"/>
              <w:rPr>
                <w:sz w:val="23"/>
                <w:szCs w:val="23"/>
                <w:color w:val="auto"/>
              </w:rPr>
            </w:pP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Cash payments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460</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62"/>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2"/>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 and other current</w:t>
            </w:r>
          </w:p>
        </w:tc>
        <w:tc>
          <w:tcPr>
            <w:tcW w:w="280" w:type="dxa"/>
            <w:vAlign w:val="bottom"/>
            <w:shd w:val="clear" w:color="auto" w:fill="E5E5E5"/>
          </w:tcPr>
          <w:p>
            <w:pPr>
              <w:spacing w:after="0"/>
              <w:rPr>
                <w:sz w:val="20"/>
                <w:szCs w:val="20"/>
                <w:color w:val="auto"/>
              </w:rPr>
            </w:pPr>
          </w:p>
        </w:tc>
        <w:tc>
          <w:tcPr>
            <w:tcW w:w="12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1280" w:type="dxa"/>
            <w:vAlign w:val="bottom"/>
            <w:shd w:val="clear" w:color="auto" w:fill="E5E5E5"/>
          </w:tcPr>
          <w:p>
            <w:pPr>
              <w:spacing w:after="0"/>
              <w:rPr>
                <w:sz w:val="20"/>
                <w:szCs w:val="20"/>
                <w:color w:val="auto"/>
              </w:rPr>
            </w:pPr>
          </w:p>
        </w:tc>
      </w:tr>
      <w:tr>
        <w:trPr>
          <w:trHeight w:val="242"/>
        </w:trPr>
        <w:tc>
          <w:tcPr>
            <w:tcW w:w="7980" w:type="dxa"/>
            <w:vAlign w:val="bottom"/>
            <w:tcBorders>
              <w:bottom w:val="single" w:sz="8" w:color="E5E5E5"/>
            </w:tcBorders>
            <w:shd w:val="clear" w:color="auto" w:fill="E5E5E5"/>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214</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Issuance of Series C-1 redeemable convertible preferred stock upon settlement of convertible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7980" w:type="dxa"/>
            <w:vAlign w:val="bottom"/>
          </w:tcPr>
          <w:p>
            <w:pPr>
              <w:ind w:left="180"/>
              <w:spacing w:after="0"/>
              <w:rPr>
                <w:sz w:val="20"/>
                <w:szCs w:val="20"/>
                <w:color w:val="auto"/>
              </w:rPr>
            </w:pPr>
            <w:r>
              <w:rPr>
                <w:rFonts w:ascii="Arial" w:cs="Arial" w:eastAsia="Arial" w:hAnsi="Arial"/>
                <w:sz w:val="18"/>
                <w:szCs w:val="18"/>
                <w:color w:val="auto"/>
              </w:rPr>
              <w:t>notes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39,886</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current liabilities</w:t>
            </w: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6,594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6,374</w:t>
            </w:r>
          </w:p>
        </w:tc>
      </w:tr>
      <w:tr>
        <w:trPr>
          <w:trHeight w:val="2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E5E5E5"/>
            </w:tcBorders>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214</w:t>
            </w: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Operating cash flows from financing leases (interest paid)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BillionToOne, Inc. (the “Company”, “we”, or “our”) was formed in 2016, and is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the proprietary technology to non-invasive prenatal screening (“Prenatal”) and liquid biopsy (“Oncology”).</w:t>
      </w:r>
    </w:p>
    <w:p>
      <w:pPr>
        <w:spacing w:after="0" w:line="284" w:lineRule="exact"/>
        <w:rPr>
          <w:sz w:val="20"/>
          <w:szCs w:val="20"/>
          <w:color w:val="auto"/>
        </w:rPr>
      </w:pPr>
    </w:p>
    <w:p>
      <w:pPr>
        <w:ind w:right="7160" w:firstLine="8"/>
        <w:spacing w:after="0" w:line="375"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Prior to April 2024, the financial statements also included the Company’s wholly owned subsidiary SeqIndia Labs Private Limited which had immaterial activities and was not material to these financial statements and was divested in April 2024. All intercompany transactions and balances have been eliminated upon consolidation.</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unaudited interim financial statements should be read in conjunction with the audited financial statements and the related notes thereto as of and for the year ended December 31, 2024, included in the Company's prospectus filed with the SEC pursuant to Rule 424(b) under the Securities Act of 1933, as amended, on November 6, 2025 (the “Final Prospectus”).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summary of the Company’s significant accounting policies refer to “Note 2. Summary of Significant Accounting Policies” in the notes to the financial statements as of and for the year ended December 31, 2024 included in the Final Prospectus. There have been no significant changes to these policies during the nine months ended September 30, 2025.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financial statements do not include all disclosures, including certain notes required by GAAP on an annual reporting basis. The unaudited interim financial statements have been prepared on the same basis as the annual financial statements. In management’s opinion, the unaudited financial statements reflect all normal recurring adjustments necessary to state fairly the balance sheets, statements of operations and comprehensive income (loss), of redeemable convertible preferred stock and stockholders’ deficit, and of cash flows for the interim periods, but are not necessarily indicative of the results of operations to be anticipated for the full fiscal year or any future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the fair value of common stock, stock-based compensation, deferred tax assets and liabilities, useful lives of long-lived assets, the incremental borrowing rate applied to operating and finance leases, determination of revenue recognition and accounts receivable, the valuation of warrants for common stock and warrants for redeemable convertible preferred stock, and valuation of debt and convertible notes. These estimates are inherently subject to judgment and actual results could differ from those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Certain of the Company’s product candidates are in development. If the Company is unable to advance its product candidates through development, clinical validation and ultimately commercialize its product candidates, or experiences significant delays in doing so, the Company’s business will be materially harmed. Even if the Company completes the necessary validation studies and product development, the process to meet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331" w:lineRule="exact"/>
        <w:rPr>
          <w:sz w:val="20"/>
          <w:szCs w:val="20"/>
          <w:color w:val="auto"/>
        </w:rPr>
      </w:pPr>
    </w:p>
    <w:p>
      <w:pPr>
        <w:ind w:right="1140"/>
        <w:spacing w:after="0" w:line="287" w:lineRule="auto"/>
        <w:rPr>
          <w:sz w:val="20"/>
          <w:szCs w:val="20"/>
          <w:color w:val="auto"/>
        </w:rPr>
      </w:pPr>
      <w:r>
        <w:rPr>
          <w:rFonts w:ascii="Arial" w:cs="Arial" w:eastAsia="Arial" w:hAnsi="Arial"/>
          <w:sz w:val="18"/>
          <w:szCs w:val="18"/>
          <w:color w:val="auto"/>
        </w:rPr>
        <w:t>any applicable regulatory requirements can be expensive. As a result, the Company cannot predict when, or if, it will be able to commercialize a product candidate.</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recognizes revenue upon transfer of control of promised goods and services in an amount that reflects the consideration it expects to be entitled to receive in exchange for those goods and services. Under ASC 606—Revenue from Contracts with Customers (ASC 606), the Company applies the following five-step approach:</w:t>
      </w:r>
    </w:p>
    <w:p>
      <w:pPr>
        <w:spacing w:after="0" w:line="63" w:lineRule="exact"/>
        <w:rPr>
          <w:sz w:val="20"/>
          <w:szCs w:val="20"/>
          <w:color w:val="auto"/>
        </w:rPr>
      </w:pPr>
    </w:p>
    <w:p>
      <w:pPr>
        <w:ind w:left="400" w:hanging="3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400" w:hanging="3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400" w:hanging="3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400" w:hanging="3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400" w:hanging="3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a performance obligation is satisfied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 Company generally bills an insurance carrier, Medicaid, Medicare, or a patient or a combination of both upon delivery of test results.</w:t>
      </w:r>
    </w:p>
    <w:p>
      <w:pPr>
        <w:spacing w:after="0" w:line="179"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Company enters into contracts with third-party payors, including insurance carriers and Medicaid,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third-party payors.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updates those estimates when actual experience supports doing so. In establishing variable consideration, the Company considers payors with similar reimbursement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2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January 2023, the Company entered a partnership with Johnson &amp; Johnson under which the Company is licensing the Company’s proprietary knowledge, performing clinical trial support services including developing a clinical study assay, and other testing services to support a clinical trial for the counterparty. The Company concluded that the agreement with Johnson &amp; Johnson was within the scope of ASC 606 because the counterparty in the agreement meets the definition of a customer. The Company evaluated the terms of the agreement for revenue recognition, including whether the services are capable of being distinct and considered distinct within the context of the contract. The Company concluded that the licensing of the know how is not distinct from the other promises within the agreement and, as a result, was</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treated as a single performance obligation. Under this contract the Company receives payments upon the achievement of milestones, including (i) receipt of approval of the trial, which was achieved in 2023, (ii) various patient enrollment milestones, and (iii) subsequent full</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trial completion, as well as reimbursement for testing services. In making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July 2025, the Company entered into a partnership with Johnson &amp; Johnson for the development and commercialization of a companion diagnostic (CDx), intended for use with a new drug candidate of Johnson &amp; Johnson. The Company is providing services related to regulatory filings to support companion diagnostic submissions for the Company’s assay. The development and regulatory support services represent a single performance obligation as the Company performs a significant integration service, such as analytical validation and regulatory submissions. The individual promises are not separately identifiable from other promises in the contract, and therefore, not distinct. The Company generates revenue from achievement of milestones, including (i) various CDx development milestones, (ii) FDA regulatory submission and pre-approval, and (iii) CDx approval by FDA. For the companion diagnostic development and regulatory approval performed, the Company is compensated through a combination of an upfront fee and performance-based, non-refundable regulatory and</w:t>
      </w:r>
    </w:p>
    <w:p>
      <w:pPr>
        <w:spacing w:after="0" w:line="3"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development milestones. The transaction price represents variable consideration and the Company uses the most likely amount to estimate variable consideration. Application of the constraint for variable consideration to milestone payments is an area that requires significant</w:t>
      </w:r>
    </w:p>
    <w:p>
      <w:pPr>
        <w:spacing w:after="0" w:line="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judgment. The Company evaluates factors such as the scientific, clinical, regulatory, and other risks that must be managed to achieve the respective milestone and the level of effort and investment required to achieve the respective milestone. In making this assessment, the Company considers its historical experience with similar milestones, the degree of complexity and uncertainty associated with each milestone, and whether the achievement of the milestone is dependent on parties other than the Company. The constraint for variable consideration is applied to the contract price such that it is probable a significant cumulative reversal of revenue will not occur when the uncertainty associated with the contingency is resolved. Application of the constraint for variable consideration is assessed and updated at each reporting period as a revision to the estimated transaction price.</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Company recognizes revenue for the single performance obligation for the J&amp;J partnership agreements over the period the services are provided. Specifically, the Company recognizes revenue using an input method to measure progress, utilizing costs incurred to-date relative to the total expected costs as a measure of progress. The Company assesses the changes to the total expected cost estimates in determining the revenue recognition for each reporting period.</w:t>
      </w:r>
    </w:p>
    <w:p>
      <w:pPr>
        <w:spacing w:after="0" w:line="18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Company applies the practical expedient not to disclose the value of unsatisfied performance obligations for contracts with an original expected length of one year or less. As of September 30, 2025, the Company’s remaining performance obligations beyond one year were approximately $4.7 million.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disaggregation of revenue by Prenatal, Oncology and Clinical trial support and other services for the three and nine months ended September 30, 2025 and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7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5"/>
        </w:trPr>
        <w:tc>
          <w:tcPr>
            <w:tcW w:w="50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45"/>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Prenatal</w:t>
            </w: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74,071</w:t>
            </w:r>
          </w:p>
        </w:tc>
        <w:tc>
          <w:tcPr>
            <w:tcW w:w="12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36,601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191,001</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102,680</w:t>
            </w:r>
          </w:p>
        </w:tc>
      </w:tr>
      <w:tr>
        <w:trPr>
          <w:trHeight w:val="247"/>
        </w:trPr>
        <w:tc>
          <w:tcPr>
            <w:tcW w:w="5000" w:type="dxa"/>
            <w:vAlign w:val="bottom"/>
          </w:tcPr>
          <w:p>
            <w:pPr>
              <w:ind w:left="40"/>
              <w:spacing w:after="0"/>
              <w:rPr>
                <w:sz w:val="20"/>
                <w:szCs w:val="20"/>
                <w:color w:val="auto"/>
              </w:rPr>
            </w:pPr>
            <w:r>
              <w:rPr>
                <w:rFonts w:ascii="Arial" w:cs="Arial" w:eastAsia="Arial" w:hAnsi="Arial"/>
                <w:sz w:val="18"/>
                <w:szCs w:val="18"/>
                <w:color w:val="auto"/>
              </w:rPr>
              <w:t>Oncology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3"/>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0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Clinical trial support and other services</w:t>
            </w:r>
          </w:p>
        </w:tc>
        <w:tc>
          <w:tcPr>
            <w:tcW w:w="360" w:type="dxa"/>
            <w:vAlign w:val="bottom"/>
            <w:tcBorders>
              <w:bottom w:val="single" w:sz="8" w:color="DBDBDB"/>
            </w:tcBorders>
            <w:shd w:val="clear" w:color="auto" w:fill="DBDBDB"/>
          </w:tcPr>
          <w:p>
            <w:pPr>
              <w:spacing w:after="0"/>
              <w:rPr>
                <w:sz w:val="23"/>
                <w:szCs w:val="23"/>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DBDBDB"/>
            </w:tcBorders>
            <w:shd w:val="clear" w:color="auto" w:fill="DBDBDB"/>
          </w:tcPr>
          <w:p>
            <w:pPr>
              <w:spacing w:after="0"/>
              <w:rPr>
                <w:sz w:val="23"/>
                <w:szCs w:val="23"/>
                <w:color w:val="auto"/>
              </w:rPr>
            </w:pPr>
          </w:p>
        </w:tc>
        <w:tc>
          <w:tcPr>
            <w:tcW w:w="500" w:type="dxa"/>
            <w:vAlign w:val="bottom"/>
            <w:tcBorders>
              <w:bottom w:val="single" w:sz="8" w:color="DBDBDB"/>
            </w:tcBorders>
            <w:shd w:val="clear" w:color="auto" w:fill="DBDBDB"/>
          </w:tcPr>
          <w:p>
            <w:pPr>
              <w:spacing w:after="0"/>
              <w:rPr>
                <w:sz w:val="23"/>
                <w:szCs w:val="23"/>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DBDBDB"/>
            </w:tcBorders>
            <w:shd w:val="clear" w:color="auto" w:fill="DBDBDB"/>
          </w:tcPr>
          <w:p>
            <w:pPr>
              <w:spacing w:after="0"/>
              <w:rPr>
                <w:sz w:val="23"/>
                <w:szCs w:val="23"/>
                <w:color w:val="auto"/>
              </w:rPr>
            </w:pPr>
          </w:p>
        </w:tc>
        <w:tc>
          <w:tcPr>
            <w:tcW w:w="34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DBDBDB"/>
            </w:tcBorders>
            <w:shd w:val="clear" w:color="auto" w:fill="DBDBDB"/>
          </w:tcPr>
          <w:p>
            <w:pPr>
              <w:spacing w:after="0"/>
              <w:rPr>
                <w:sz w:val="23"/>
                <w:szCs w:val="23"/>
                <w:color w:val="auto"/>
              </w:rPr>
            </w:pPr>
          </w:p>
        </w:tc>
        <w:tc>
          <w:tcPr>
            <w:tcW w:w="500" w:type="dxa"/>
            <w:vAlign w:val="bottom"/>
            <w:tcBorders>
              <w:bottom w:val="single" w:sz="8" w:color="DBDBDB"/>
            </w:tcBorders>
            <w:shd w:val="clear" w:color="auto" w:fill="DBDBDB"/>
          </w:tcPr>
          <w:p>
            <w:pPr>
              <w:spacing w:after="0"/>
              <w:rPr>
                <w:sz w:val="23"/>
                <w:szCs w:val="23"/>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2,974</w:t>
            </w:r>
          </w:p>
        </w:tc>
      </w:tr>
      <w:tr>
        <w:trPr>
          <w:trHeight w:val="241"/>
        </w:trPr>
        <w:tc>
          <w:tcPr>
            <w:tcW w:w="5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83,523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107,505</w:t>
            </w:r>
          </w:p>
        </w:tc>
      </w:tr>
      <w:tr>
        <w:trPr>
          <w:trHeight w:val="23"/>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Substantially all revenues recognized for the three and nine months ended September 30, 2025 and 2024 were generated in the United States.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revenue, which is a contract liability, consists of billings or cash received for services in advance of revenue recognition and is recognized as revenue when all the Company’s revenue recognition criteria are met. As of September 30, 2025 and December 31, 2024, the deferred revenue balance was $2.7 million and $2.8 million, respectively, all of which is considered short-term. For the three months ended September 30, 2025 and 2024 and nine months ended September 30, 2025 and 2024, revenue recognized from deferred revenue at the beginning of the period was $0.6 million, $0.7 million, $2.1 million, and $3.0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three months ended September 30, 2025 and 2024 and nine months ended September 30, 2025 and 2024, the Company did not have any other comprehensive income (loss) and, therefore, the net income (loss) and comprehensive income (loss) was the same.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Deferred offering costs, consisting of legal, accounting, and other fees and costs relating to the Company’s initial public offering (IPO) are capitalized within other non-current assets on the balance sheets. The deferred offering costs will be offset against the proceeds received by the Company upon the closing of the IPO. As of September 30, 2025, the Company had $3.7 million of deferred offering costs. As of December 31, 2024, the Company had no deferred offering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spacing w:after="0" w:line="17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Key areas of focus for the CODM when making decisions on the allocations of resources is cash used in operations as well as revenue, gross margin and net income (loss); this information is used by the CODM and compared to budgeted amounts in order for the CODM to make decisions on how resources should be allocated across the organization. The Company’s segment measure of profitability is net income (loss).</w:t>
      </w:r>
    </w:p>
    <w:p>
      <w:pPr>
        <w:spacing w:after="0" w:line="1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Segment revenues are derived from prenatal and oncology testing results, leveraging the Company’s diagnostic technology platform, which are delivered to patients, who are the Company’s customer. The Company’s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customers are predominantly located in the United States. Substantially all of the Company’s long-lived assets are located in the United States. The Company’s technology platform is applied similarly in both the prenatal and oncology settings.</w:t>
      </w:r>
    </w:p>
    <w:p>
      <w:pPr>
        <w:spacing w:after="0" w:line="153"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financial statements provide the CODM with a view of the Company’s financial condition as it pertains to the Company’s assets, liabilities and expenses. Significant expense categories align with the expense categories and amounts presented on the statements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which expands income tax disclosure requirements to include additional information related to the rate reconciliation of effective tax rates to statutory rates, as well as additional disaggregation of taxes paid. This ASU also removed disclosure related to certain unrecognized tax benefits and deferred taxes. ASU 2023-09 is effective for fiscal years beginning after December 15, 2024. This ASU may be applied prospectively or retrospectively, and early adoption is permitted. The Company is currently evaluating this ASU to determine the impact it may have on its financial statements and related disclosures.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2024, the FASB issued ASU 2024-04, Debt – Debt with Conversion and Other Options (Subtopic 470-20): Induced Conversions of Convertible Debt Instruments. This ASU clarifies guidance on the requirements for determining whether certain settlements of convertible debt instruments should be accounted for as an induced conversion or extinguishment. This guidance is effective for the Company beginning on January 1, 2026, and early adoption is permitted, although the Company does not plan to early adopt. The Company is currently evaluating the impact of the adoption of this standard on the Company’s financial statement disclosures.</w:t>
      </w:r>
    </w:p>
    <w:p>
      <w:pPr>
        <w:spacing w:after="0" w:line="1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November 2024 and January 2025, the FASB issued ASU 2024-03 and ASU 2025-01, respectively, Income Statement—Reporting Comprehensive Income—Expense Disaggregation Disclosures (Subtopic 220-40): Disaggregation of Income Statement Expenses, which requires disclosure in the notes to the financial statements of specified information about an entity’s certain costs and expenses. The amendments to the standards are effective for the Company’s fiscal year beginning January 1, 2027 and interim periods 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2025, the FASB issued ASU 2025-05, Measurement of Credit Losses for Accounts Receivable and Contract Assets, which provides for a practical expedient to estimate credit losses related to accounts receivable and contract assets from revenue contracts accounted for in accordance with ASC 606 using information as of the balance sheet date. This ASU is effective for the Company’s fiscal year beginning January 1, 2026 and early adoption is permitted. The Company is currently evaluating this ASU to determine the impact it may have on its financial statements and related disclosures.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which clarifies and expands the existing guidance on capitalizing 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this ASU to determine the impact it may have on its financial statements and related disclosures.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September 2025, the FASB issued ASU 2025-07, Derivatives Scope Refinements and Scope Clarification for Share-Based Noncash Consideration from a Customer in a Revenue Contract, which amends the guidance under ASC Topic 815 (Derivatives and Hedging) and ASC Topic 606 (Revenue from Contracts with Customers). The ASU (i) refines the scope for derivative accounting to exclude certain non-exchange-traded contracts whose underlyings are based on the operations or activities specific to one of the parties to the contract, and (ii) provides clarification on how to account for share-based noncash consideration from customers (such as equity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instruments, warrants, or shares) received in exchange for the transfer of goods or services under a revenue contract. The new guidance is effective for public business entities for fiscal years beginning after December 15, 2026, and interim periods within those fiscal years. Early adoption is permitted. The Company is currently evaluating this ASU to determine the impact it may have on its financial statements and related disclosures.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assets and liabilities that are measured at fair value on a recurring basis consisted of the following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September 30, 2025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4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bottom w:val="single" w:sz="8" w:color="E5E5E5"/>
            </w:tcBorders>
            <w:shd w:val="clear" w:color="auto" w:fill="E5E5E5"/>
          </w:tcPr>
          <w:p>
            <w:pPr>
              <w:spacing w:after="0"/>
              <w:rPr>
                <w:sz w:val="20"/>
                <w:szCs w:val="20"/>
                <w:color w:val="auto"/>
              </w:rPr>
            </w:pPr>
          </w:p>
        </w:tc>
        <w:tc>
          <w:tcPr>
            <w:tcW w:w="102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180" w:type="dxa"/>
            <w:vAlign w:val="bottom"/>
            <w:tcBorders>
              <w:top w:val="single" w:sz="8" w:color="auto"/>
              <w:bottom w:val="single" w:sz="8" w:color="E5E5E5"/>
            </w:tcBorders>
            <w:shd w:val="clear" w:color="auto" w:fill="E5E5E5"/>
          </w:tcPr>
          <w:p>
            <w:pPr>
              <w:spacing w:after="0"/>
              <w:rPr>
                <w:sz w:val="20"/>
                <w:szCs w:val="20"/>
                <w:color w:val="auto"/>
              </w:rPr>
            </w:pPr>
          </w:p>
        </w:tc>
        <w:tc>
          <w:tcPr>
            <w:tcW w:w="108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220" w:type="dxa"/>
            <w:vAlign w:val="bottom"/>
            <w:tcBorders>
              <w:top w:val="single" w:sz="8" w:color="auto"/>
              <w:bottom w:val="single" w:sz="8" w:color="E5E5E5"/>
            </w:tcBorders>
            <w:shd w:val="clear" w:color="auto" w:fill="E5E5E5"/>
          </w:tcPr>
          <w:p>
            <w:pPr>
              <w:spacing w:after="0"/>
              <w:rPr>
                <w:sz w:val="20"/>
                <w:szCs w:val="20"/>
                <w:color w:val="auto"/>
              </w:rPr>
            </w:pPr>
          </w:p>
        </w:tc>
        <w:tc>
          <w:tcPr>
            <w:tcW w:w="102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280" w:type="dxa"/>
            <w:vAlign w:val="bottom"/>
            <w:tcBorders>
              <w:top w:val="single" w:sz="8" w:color="auto"/>
              <w:bottom w:val="single" w:sz="8" w:color="E5E5E5"/>
            </w:tcBorders>
            <w:shd w:val="clear" w:color="auto" w:fill="E5E5E5"/>
          </w:tcPr>
          <w:p>
            <w:pPr>
              <w:spacing w:after="0"/>
              <w:rPr>
                <w:sz w:val="20"/>
                <w:szCs w:val="20"/>
                <w:color w:val="auto"/>
              </w:rPr>
            </w:pPr>
          </w:p>
        </w:tc>
        <w:tc>
          <w:tcPr>
            <w:tcW w:w="980" w:type="dxa"/>
            <w:vAlign w:val="bottom"/>
            <w:tcBorders>
              <w:top w:val="single" w:sz="8" w:color="auto"/>
              <w:bottom w:val="single" w:sz="8" w:color="E5E5E5"/>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3"/>
        </w:trPr>
        <w:tc>
          <w:tcPr>
            <w:tcW w:w="5940" w:type="dxa"/>
            <w:vAlign w:val="bottom"/>
            <w:tcBorders>
              <w:bottom w:val="single" w:sz="8" w:color="E5E5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E5E5E5"/>
            </w:tcBorders>
            <w:shd w:val="clear" w:color="auto" w:fill="E5E5E5"/>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Borders>
              <w:bottom w:val="single" w:sz="8" w:color="E5E5E5"/>
            </w:tcBorders>
            <w:shd w:val="clear" w:color="auto" w:fill="E5E5E5"/>
          </w:tcPr>
          <w:p>
            <w:pPr>
              <w:spacing w:after="0"/>
              <w:rPr>
                <w:sz w:val="24"/>
                <w:szCs w:val="24"/>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4"/>
                <w:szCs w:val="24"/>
                <w:color w:val="auto"/>
              </w:rPr>
            </w:pP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4"/>
                <w:szCs w:val="24"/>
                <w:color w:val="auto"/>
              </w:rPr>
            </w:pP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0"/>
        </w:trPr>
        <w:tc>
          <w:tcPr>
            <w:tcW w:w="594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7"/>
        </w:trPr>
        <w:tc>
          <w:tcPr>
            <w:tcW w:w="5940" w:type="dxa"/>
            <w:vAlign w:val="bottom"/>
          </w:tcPr>
          <w:p>
            <w:pPr>
              <w:ind w:left="360"/>
              <w:spacing w:after="0"/>
              <w:rPr>
                <w:sz w:val="20"/>
                <w:szCs w:val="20"/>
                <w:color w:val="auto"/>
              </w:rPr>
            </w:pPr>
            <w:r>
              <w:rPr>
                <w:rFonts w:ascii="Arial" w:cs="Arial" w:eastAsia="Arial" w:hAnsi="Arial"/>
                <w:sz w:val="18"/>
                <w:szCs w:val="18"/>
                <w:color w:val="auto"/>
              </w:rPr>
              <w:t>Common stock warrants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E5E5E5"/>
            </w:tcBorders>
            <w:shd w:val="clear" w:color="auto" w:fill="E5E5E5"/>
          </w:tcPr>
          <w:p>
            <w:pPr>
              <w:ind w:left="72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E5E5E5"/>
            </w:tcBorders>
            <w:shd w:val="clear" w:color="auto" w:fill="E5E5E5"/>
          </w:tcPr>
          <w:p>
            <w:pPr>
              <w:spacing w:after="0"/>
              <w:rPr>
                <w:sz w:val="23"/>
                <w:szCs w:val="23"/>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180" w:type="dxa"/>
            <w:vAlign w:val="bottom"/>
            <w:tcBorders>
              <w:bottom w:val="single" w:sz="8" w:color="E5E5E5"/>
            </w:tcBorders>
            <w:shd w:val="clear" w:color="auto" w:fill="E5E5E5"/>
          </w:tcPr>
          <w:p>
            <w:pPr>
              <w:spacing w:after="0"/>
              <w:rPr>
                <w:sz w:val="23"/>
                <w:szCs w:val="23"/>
                <w:color w:val="auto"/>
              </w:rPr>
            </w:pP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20" w:type="dxa"/>
            <w:vAlign w:val="bottom"/>
            <w:tcBorders>
              <w:bottom w:val="single" w:sz="8" w:color="E5E5E5"/>
            </w:tcBorders>
            <w:shd w:val="clear" w:color="auto" w:fill="E5E5E5"/>
          </w:tcPr>
          <w:p>
            <w:pPr>
              <w:spacing w:after="0"/>
              <w:rPr>
                <w:sz w:val="23"/>
                <w:szCs w:val="23"/>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54,986</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E5E5E5"/>
            </w:tcBorders>
            <w:shd w:val="clear" w:color="auto" w:fill="E5E5E5"/>
          </w:tcPr>
          <w:p>
            <w:pPr>
              <w:spacing w:after="0"/>
              <w:rPr>
                <w:sz w:val="23"/>
                <w:szCs w:val="23"/>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54,986</w:t>
            </w:r>
          </w:p>
        </w:tc>
        <w:tc>
          <w:tcPr>
            <w:tcW w:w="0" w:type="dxa"/>
            <w:vAlign w:val="bottom"/>
          </w:tcPr>
          <w:p>
            <w:pPr>
              <w:spacing w:after="0"/>
              <w:rPr>
                <w:sz w:val="1"/>
                <w:szCs w:val="1"/>
                <w:color w:val="auto"/>
              </w:rPr>
            </w:pPr>
          </w:p>
        </w:tc>
      </w:tr>
      <w:tr>
        <w:trPr>
          <w:trHeight w:val="241"/>
        </w:trPr>
        <w:tc>
          <w:tcPr>
            <w:tcW w:w="59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59,334</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assets and liabilities that are measured at fair value on a recurring basis consisted of the following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As of December 31, 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4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bottom w:val="single" w:sz="8" w:color="E5E5E5"/>
            </w:tcBorders>
            <w:shd w:val="clear" w:color="auto" w:fill="E5E5E5"/>
          </w:tcPr>
          <w:p>
            <w:pPr>
              <w:spacing w:after="0"/>
              <w:rPr>
                <w:sz w:val="20"/>
                <w:szCs w:val="20"/>
                <w:color w:val="auto"/>
              </w:rPr>
            </w:pPr>
          </w:p>
        </w:tc>
        <w:tc>
          <w:tcPr>
            <w:tcW w:w="102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180" w:type="dxa"/>
            <w:vAlign w:val="bottom"/>
            <w:tcBorders>
              <w:top w:val="single" w:sz="8" w:color="auto"/>
              <w:bottom w:val="single" w:sz="8" w:color="E5E5E5"/>
            </w:tcBorders>
            <w:shd w:val="clear" w:color="auto" w:fill="E5E5E5"/>
          </w:tcPr>
          <w:p>
            <w:pPr>
              <w:spacing w:after="0"/>
              <w:rPr>
                <w:sz w:val="20"/>
                <w:szCs w:val="20"/>
                <w:color w:val="auto"/>
              </w:rPr>
            </w:pPr>
          </w:p>
        </w:tc>
        <w:tc>
          <w:tcPr>
            <w:tcW w:w="108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220" w:type="dxa"/>
            <w:vAlign w:val="bottom"/>
            <w:tcBorders>
              <w:top w:val="single" w:sz="8" w:color="auto"/>
              <w:bottom w:val="single" w:sz="8" w:color="E5E5E5"/>
            </w:tcBorders>
            <w:shd w:val="clear" w:color="auto" w:fill="E5E5E5"/>
          </w:tcPr>
          <w:p>
            <w:pPr>
              <w:spacing w:after="0"/>
              <w:rPr>
                <w:sz w:val="20"/>
                <w:szCs w:val="20"/>
                <w:color w:val="auto"/>
              </w:rPr>
            </w:pPr>
          </w:p>
        </w:tc>
        <w:tc>
          <w:tcPr>
            <w:tcW w:w="1020" w:type="dxa"/>
            <w:vAlign w:val="bottom"/>
            <w:tcBorders>
              <w:top w:val="single" w:sz="8" w:color="auto"/>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280" w:type="dxa"/>
            <w:vAlign w:val="bottom"/>
            <w:tcBorders>
              <w:top w:val="single" w:sz="8" w:color="auto"/>
              <w:bottom w:val="single" w:sz="8" w:color="E5E5E5"/>
            </w:tcBorders>
            <w:shd w:val="clear" w:color="auto" w:fill="E5E5E5"/>
          </w:tcPr>
          <w:p>
            <w:pPr>
              <w:spacing w:after="0"/>
              <w:rPr>
                <w:sz w:val="20"/>
                <w:szCs w:val="20"/>
                <w:color w:val="auto"/>
              </w:rPr>
            </w:pPr>
          </w:p>
        </w:tc>
        <w:tc>
          <w:tcPr>
            <w:tcW w:w="980" w:type="dxa"/>
            <w:vAlign w:val="bottom"/>
            <w:tcBorders>
              <w:top w:val="single" w:sz="8" w:color="auto"/>
              <w:bottom w:val="single" w:sz="8" w:color="E5E5E5"/>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3"/>
        </w:trPr>
        <w:tc>
          <w:tcPr>
            <w:tcW w:w="5940" w:type="dxa"/>
            <w:vAlign w:val="bottom"/>
            <w:tcBorders>
              <w:bottom w:val="single" w:sz="8" w:color="E5E5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E5E5E5"/>
            </w:tcBorders>
            <w:shd w:val="clear" w:color="auto" w:fill="E5E5E5"/>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E5E5E5"/>
            </w:tcBorders>
            <w:shd w:val="clear" w:color="auto" w:fill="E5E5E5"/>
          </w:tcPr>
          <w:p>
            <w:pPr>
              <w:spacing w:after="0"/>
              <w:rPr>
                <w:sz w:val="24"/>
                <w:szCs w:val="24"/>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4"/>
                <w:szCs w:val="24"/>
                <w:color w:val="auto"/>
              </w:rPr>
            </w:pP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4"/>
                <w:szCs w:val="24"/>
                <w:color w:val="auto"/>
              </w:rPr>
            </w:pP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0"/>
        </w:trPr>
        <w:tc>
          <w:tcPr>
            <w:tcW w:w="594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7"/>
        </w:trPr>
        <w:tc>
          <w:tcPr>
            <w:tcW w:w="5940" w:type="dxa"/>
            <w:vAlign w:val="bottom"/>
          </w:tcPr>
          <w:p>
            <w:pPr>
              <w:ind w:left="360"/>
              <w:spacing w:after="0"/>
              <w:rPr>
                <w:sz w:val="20"/>
                <w:szCs w:val="20"/>
                <w:color w:val="auto"/>
              </w:rPr>
            </w:pPr>
            <w:r>
              <w:rPr>
                <w:rFonts w:ascii="Arial" w:cs="Arial" w:eastAsia="Arial" w:hAnsi="Arial"/>
                <w:sz w:val="18"/>
                <w:szCs w:val="18"/>
                <w:color w:val="auto"/>
              </w:rPr>
              <w:t>Common stock warrants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E5E5E5"/>
            </w:tcBorders>
            <w:shd w:val="clear" w:color="auto" w:fill="E5E5E5"/>
          </w:tcPr>
          <w:p>
            <w:pPr>
              <w:spacing w:after="0"/>
              <w:rPr>
                <w:sz w:val="23"/>
                <w:szCs w:val="23"/>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180" w:type="dxa"/>
            <w:vAlign w:val="bottom"/>
            <w:tcBorders>
              <w:bottom w:val="single" w:sz="8" w:color="E5E5E5"/>
            </w:tcBorders>
            <w:shd w:val="clear" w:color="auto" w:fill="E5E5E5"/>
          </w:tcPr>
          <w:p>
            <w:pPr>
              <w:spacing w:after="0"/>
              <w:rPr>
                <w:sz w:val="23"/>
                <w:szCs w:val="23"/>
                <w:color w:val="auto"/>
              </w:rPr>
            </w:pP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20" w:type="dxa"/>
            <w:vAlign w:val="bottom"/>
            <w:tcBorders>
              <w:bottom w:val="single" w:sz="8" w:color="E5E5E5"/>
            </w:tcBorders>
            <w:shd w:val="clear" w:color="auto" w:fill="E5E5E5"/>
          </w:tcPr>
          <w:p>
            <w:pPr>
              <w:spacing w:after="0"/>
              <w:rPr>
                <w:sz w:val="23"/>
                <w:szCs w:val="23"/>
                <w:color w:val="auto"/>
              </w:rPr>
            </w:pP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E5E5E5"/>
            </w:tcBorders>
            <w:shd w:val="clear" w:color="auto" w:fill="E5E5E5"/>
          </w:tcPr>
          <w:p>
            <w:pPr>
              <w:spacing w:after="0"/>
              <w:rPr>
                <w:sz w:val="23"/>
                <w:szCs w:val="23"/>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c>
          <w:tcPr>
            <w:tcW w:w="0" w:type="dxa"/>
            <w:vAlign w:val="bottom"/>
          </w:tcPr>
          <w:p>
            <w:pPr>
              <w:spacing w:after="0"/>
              <w:rPr>
                <w:sz w:val="1"/>
                <w:szCs w:val="1"/>
                <w:color w:val="auto"/>
              </w:rPr>
            </w:pPr>
          </w:p>
        </w:tc>
      </w:tr>
      <w:tr>
        <w:trPr>
          <w:trHeight w:val="240"/>
        </w:trPr>
        <w:tc>
          <w:tcPr>
            <w:tcW w:w="59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54,244</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Level 3 instruments consist of the Company’s Series A-6 redeemable convertible preferred stock warrant liabilities, common stock warrant liabilities, a term loan and convertible notes.</w:t>
      </w:r>
    </w:p>
    <w:p>
      <w:pPr>
        <w:spacing w:after="0" w:line="15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fair values of the Series A-6 redeemable convertible preferred stock warrant and common stock warrant are measured using a probability weighted option pricing model.</w:t>
      </w:r>
    </w:p>
    <w:p>
      <w:pPr>
        <w:spacing w:after="0" w:line="15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significant assumptions used in preparing the option pricing model for valuing the common stock warrant liability as of September 30, 2025 and December 31,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6620" w:type="dxa"/>
            <w:vAlign w:val="bottom"/>
            <w:tcBorders>
              <w:bottom w:val="single" w:sz="8" w:color="E5E5E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E5E5E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r>
      <w:tr>
        <w:trPr>
          <w:trHeight w:val="244"/>
        </w:trPr>
        <w:tc>
          <w:tcPr>
            <w:tcW w:w="66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Stock price</w:t>
            </w:r>
          </w:p>
        </w:tc>
        <w:tc>
          <w:tcPr>
            <w:tcW w:w="30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5E5E5"/>
            </w:tcBorders>
            <w:shd w:val="clear" w:color="auto" w:fill="E5E5E5"/>
          </w:tcPr>
          <w:p>
            <w:pPr>
              <w:jc w:val="right"/>
              <w:ind w:right="130"/>
              <w:spacing w:after="0"/>
              <w:rPr>
                <w:sz w:val="20"/>
                <w:szCs w:val="20"/>
                <w:color w:val="auto"/>
              </w:rPr>
            </w:pPr>
            <w:r>
              <w:rPr>
                <w:rFonts w:ascii="Arial" w:cs="Arial" w:eastAsia="Arial" w:hAnsi="Arial"/>
                <w:sz w:val="18"/>
                <w:szCs w:val="18"/>
                <w:color w:val="auto"/>
              </w:rPr>
              <w:t>40.77</w:t>
            </w:r>
          </w:p>
        </w:tc>
        <w:tc>
          <w:tcPr>
            <w:tcW w:w="2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5E5E5"/>
            </w:tcBorders>
            <w:shd w:val="clear" w:color="auto" w:fill="E5E5E5"/>
          </w:tcPr>
          <w:p>
            <w:pPr>
              <w:jc w:val="right"/>
              <w:ind w:right="150"/>
              <w:spacing w:after="0"/>
              <w:rPr>
                <w:sz w:val="20"/>
                <w:szCs w:val="20"/>
                <w:color w:val="auto"/>
              </w:rPr>
            </w:pPr>
            <w:r>
              <w:rPr>
                <w:rFonts w:ascii="Arial" w:cs="Arial" w:eastAsia="Arial" w:hAnsi="Arial"/>
                <w:sz w:val="18"/>
                <w:szCs w:val="18"/>
                <w:color w:val="auto"/>
              </w:rPr>
              <w:t>20.32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00" w:type="dxa"/>
            <w:vAlign w:val="bottom"/>
          </w:tcPr>
          <w:p>
            <w:pPr>
              <w:spacing w:after="0"/>
              <w:rPr>
                <w:sz w:val="21"/>
                <w:szCs w:val="21"/>
                <w:color w:val="auto"/>
              </w:rPr>
            </w:pPr>
          </w:p>
        </w:tc>
        <w:tc>
          <w:tcPr>
            <w:tcW w:w="2140" w:type="dxa"/>
            <w:vAlign w:val="bottom"/>
            <w:gridSpan w:val="2"/>
          </w:tcPr>
          <w:p>
            <w:pPr>
              <w:ind w:left="440"/>
              <w:spacing w:after="0"/>
              <w:rPr>
                <w:sz w:val="20"/>
                <w:szCs w:val="20"/>
                <w:color w:val="auto"/>
              </w:rPr>
            </w:pPr>
            <w:r>
              <w:rPr>
                <w:rFonts w:ascii="Arial" w:cs="Arial" w:eastAsia="Arial" w:hAnsi="Arial"/>
                <w:sz w:val="18"/>
                <w:szCs w:val="18"/>
                <w:color w:val="auto"/>
              </w:rPr>
              <w:t>$2.80 – $10.92</w:t>
            </w:r>
          </w:p>
        </w:tc>
        <w:tc>
          <w:tcPr>
            <w:tcW w:w="300" w:type="dxa"/>
            <w:vAlign w:val="bottom"/>
          </w:tcPr>
          <w:p>
            <w:pPr>
              <w:spacing w:after="0"/>
              <w:rPr>
                <w:sz w:val="21"/>
                <w:szCs w:val="21"/>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$2.80 – $10.92</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7"/>
        </w:trPr>
        <w:tc>
          <w:tcPr>
            <w:tcW w:w="6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E5E5E5"/>
          </w:tcPr>
          <w:p>
            <w:pPr>
              <w:spacing w:after="0"/>
              <w:rPr>
                <w:sz w:val="21"/>
                <w:szCs w:val="21"/>
                <w:color w:val="auto"/>
              </w:rPr>
            </w:pPr>
          </w:p>
        </w:tc>
        <w:tc>
          <w:tcPr>
            <w:tcW w:w="1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76.1 %</w:t>
            </w:r>
          </w:p>
        </w:tc>
        <w:tc>
          <w:tcPr>
            <w:tcW w:w="26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84.0 %</w:t>
            </w:r>
          </w:p>
        </w:tc>
      </w:tr>
      <w:tr>
        <w:trPr>
          <w:trHeight w:val="23"/>
        </w:trPr>
        <w:tc>
          <w:tcPr>
            <w:tcW w:w="6620" w:type="dxa"/>
            <w:vAlign w:val="bottom"/>
            <w:shd w:val="clear" w:color="auto" w:fill="E5E5E5"/>
          </w:tcPr>
          <w:p>
            <w:pPr>
              <w:spacing w:after="0"/>
              <w:rPr>
                <w:sz w:val="2"/>
                <w:szCs w:val="2"/>
                <w:color w:val="auto"/>
              </w:rPr>
            </w:pPr>
          </w:p>
        </w:tc>
        <w:tc>
          <w:tcPr>
            <w:tcW w:w="300" w:type="dxa"/>
            <w:vAlign w:val="bottom"/>
            <w:shd w:val="clear" w:color="auto" w:fill="E5E5E5"/>
          </w:tcPr>
          <w:p>
            <w:pPr>
              <w:spacing w:after="0"/>
              <w:rPr>
                <w:sz w:val="2"/>
                <w:szCs w:val="2"/>
                <w:color w:val="auto"/>
              </w:rPr>
            </w:pPr>
          </w:p>
        </w:tc>
        <w:tc>
          <w:tcPr>
            <w:tcW w:w="1880" w:type="dxa"/>
            <w:vAlign w:val="bottom"/>
            <w:shd w:val="clear" w:color="auto" w:fill="E5E5E5"/>
          </w:tcPr>
          <w:p>
            <w:pPr>
              <w:spacing w:after="0"/>
              <w:rPr>
                <w:sz w:val="2"/>
                <w:szCs w:val="2"/>
                <w:color w:val="auto"/>
              </w:rPr>
            </w:pPr>
          </w:p>
        </w:tc>
        <w:tc>
          <w:tcPr>
            <w:tcW w:w="260" w:type="dxa"/>
            <w:vAlign w:val="bottom"/>
            <w:shd w:val="clear" w:color="auto" w:fill="E5E5E5"/>
          </w:tcPr>
          <w:p>
            <w:pPr>
              <w:spacing w:after="0"/>
              <w:rPr>
                <w:sz w:val="2"/>
                <w:szCs w:val="2"/>
                <w:color w:val="auto"/>
              </w:rPr>
            </w:pPr>
          </w:p>
        </w:tc>
        <w:tc>
          <w:tcPr>
            <w:tcW w:w="300" w:type="dxa"/>
            <w:vAlign w:val="bottom"/>
            <w:shd w:val="clear" w:color="auto" w:fill="E5E5E5"/>
          </w:tcPr>
          <w:p>
            <w:pPr>
              <w:spacing w:after="0"/>
              <w:rPr>
                <w:sz w:val="2"/>
                <w:szCs w:val="2"/>
                <w:color w:val="auto"/>
              </w:rPr>
            </w:pPr>
          </w:p>
        </w:tc>
        <w:tc>
          <w:tcPr>
            <w:tcW w:w="1880" w:type="dxa"/>
            <w:vAlign w:val="bottom"/>
            <w:shd w:val="clear" w:color="auto" w:fill="E5E5E5"/>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700" w:type="dxa"/>
            <w:vAlign w:val="bottom"/>
          </w:tcPr>
          <w:p>
            <w:pPr>
              <w:jc w:val="right"/>
              <w:ind w:right="1050"/>
              <w:spacing w:after="0"/>
              <w:rPr>
                <w:sz w:val="20"/>
                <w:szCs w:val="20"/>
                <w:color w:val="auto"/>
              </w:rPr>
            </w:pPr>
            <w:r>
              <w:rPr>
                <w:rFonts w:ascii="Arial" w:cs="Arial" w:eastAsia="Arial" w:hAnsi="Arial"/>
                <w:sz w:val="18"/>
                <w:szCs w:val="18"/>
                <w:color w:val="auto"/>
              </w:rPr>
              <w:t>1.50</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2.30</w:t>
            </w:r>
          </w:p>
        </w:tc>
      </w:tr>
      <w:tr>
        <w:trPr>
          <w:trHeight w:val="23"/>
        </w:trPr>
        <w:tc>
          <w:tcPr>
            <w:tcW w:w="50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4700" w:type="dxa"/>
            <w:vAlign w:val="bottom"/>
            <w:tcBorders>
              <w:bottom w:val="single" w:sz="8" w:color="E5E5E5"/>
            </w:tcBorders>
            <w:shd w:val="clear" w:color="auto" w:fill="E5E5E5"/>
          </w:tcPr>
          <w:p>
            <w:pPr>
              <w:jc w:val="right"/>
              <w:ind w:right="830"/>
              <w:spacing w:after="0"/>
              <w:rPr>
                <w:sz w:val="20"/>
                <w:szCs w:val="20"/>
                <w:color w:val="auto"/>
              </w:rPr>
            </w:pPr>
            <w:r>
              <w:rPr>
                <w:rFonts w:ascii="Arial" w:cs="Arial" w:eastAsia="Arial" w:hAnsi="Arial"/>
                <w:sz w:val="18"/>
                <w:szCs w:val="18"/>
                <w:color w:val="auto"/>
              </w:rPr>
              <w:t>3.50 %</w:t>
            </w:r>
          </w:p>
        </w:tc>
        <w:tc>
          <w:tcPr>
            <w:tcW w:w="15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4.14 %</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700" w:type="dxa"/>
            <w:vAlign w:val="bottom"/>
          </w:tcPr>
          <w:p>
            <w:pPr>
              <w:jc w:val="right"/>
              <w:ind w:right="83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significant assumptions used in preparing the option pricing model for valuing the redeemable convertible preferred stock warrant liability as of September 30, 2025 and December 31, 2024,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7"/>
                <w:szCs w:val="17"/>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640" w:type="dxa"/>
            <w:vAlign w:val="bottom"/>
            <w:tcBorders>
              <w:bottom w:val="single" w:sz="8" w:color="E5E5E5"/>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E5E5E5"/>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2024</w:t>
            </w:r>
          </w:p>
        </w:tc>
      </w:tr>
      <w:tr>
        <w:trPr>
          <w:trHeight w:val="243"/>
        </w:trPr>
        <w:tc>
          <w:tcPr>
            <w:tcW w:w="66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Stock price</w:t>
            </w:r>
          </w:p>
        </w:tc>
        <w:tc>
          <w:tcPr>
            <w:tcW w:w="30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E5E5E5"/>
            </w:tcBorders>
            <w:shd w:val="clear" w:color="auto" w:fill="E5E5E5"/>
          </w:tcPr>
          <w:p>
            <w:pPr>
              <w:jc w:val="right"/>
              <w:ind w:right="130"/>
              <w:spacing w:after="0"/>
              <w:rPr>
                <w:sz w:val="20"/>
                <w:szCs w:val="20"/>
                <w:color w:val="auto"/>
              </w:rPr>
            </w:pPr>
            <w:r>
              <w:rPr>
                <w:rFonts w:ascii="Arial" w:cs="Arial" w:eastAsia="Arial" w:hAnsi="Arial"/>
                <w:sz w:val="18"/>
                <w:szCs w:val="18"/>
                <w:color w:val="auto"/>
              </w:rPr>
              <w:t>42.08</w:t>
            </w:r>
          </w:p>
        </w:tc>
        <w:tc>
          <w:tcPr>
            <w:tcW w:w="2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E5E5E5"/>
            </w:tcBorders>
            <w:shd w:val="clear" w:color="auto" w:fill="E5E5E5"/>
          </w:tcPr>
          <w:p>
            <w:pPr>
              <w:jc w:val="right"/>
              <w:ind w:right="150"/>
              <w:spacing w:after="0"/>
              <w:rPr>
                <w:sz w:val="20"/>
                <w:szCs w:val="20"/>
                <w:color w:val="auto"/>
              </w:rPr>
            </w:pPr>
            <w:r>
              <w:rPr>
                <w:rFonts w:ascii="Arial" w:cs="Arial" w:eastAsia="Arial" w:hAnsi="Arial"/>
                <w:sz w:val="18"/>
                <w:szCs w:val="18"/>
                <w:color w:val="auto"/>
              </w:rPr>
              <w:t>25.83</w:t>
            </w:r>
          </w:p>
        </w:tc>
      </w:tr>
      <w:tr>
        <w:trPr>
          <w:trHeight w:val="247"/>
        </w:trPr>
        <w:tc>
          <w:tcPr>
            <w:tcW w:w="66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2.59</w:t>
            </w:r>
          </w:p>
        </w:tc>
      </w:tr>
      <w:tr>
        <w:trPr>
          <w:trHeight w:val="2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6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Volatility</w:t>
            </w:r>
          </w:p>
        </w:tc>
        <w:tc>
          <w:tcPr>
            <w:tcW w:w="300" w:type="dxa"/>
            <w:vAlign w:val="bottom"/>
            <w:tcBorders>
              <w:bottom w:val="single" w:sz="8" w:color="E5E5E5"/>
            </w:tcBorders>
            <w:shd w:val="clear" w:color="auto" w:fill="E5E5E5"/>
          </w:tcPr>
          <w:p>
            <w:pPr>
              <w:spacing w:after="0"/>
              <w:rPr>
                <w:sz w:val="21"/>
                <w:szCs w:val="21"/>
                <w:color w:val="auto"/>
              </w:rPr>
            </w:pPr>
          </w:p>
        </w:tc>
        <w:tc>
          <w:tcPr>
            <w:tcW w:w="1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76.1 %</w:t>
            </w:r>
          </w:p>
        </w:tc>
        <w:tc>
          <w:tcPr>
            <w:tcW w:w="2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E5E5E5"/>
            </w:tcBorders>
            <w:shd w:val="clear" w:color="auto" w:fill="E5E5E5"/>
          </w:tcPr>
          <w:p>
            <w:pPr>
              <w:spacing w:after="0"/>
              <w:rPr>
                <w:sz w:val="21"/>
                <w:szCs w:val="21"/>
                <w:color w:val="auto"/>
              </w:rPr>
            </w:pPr>
          </w:p>
        </w:tc>
        <w:tc>
          <w:tcPr>
            <w:tcW w:w="1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84.0 %</w:t>
            </w:r>
          </w:p>
        </w:tc>
      </w:tr>
      <w:tr>
        <w:trPr>
          <w:trHeight w:val="247"/>
        </w:trPr>
        <w:tc>
          <w:tcPr>
            <w:tcW w:w="66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30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2.30</w:t>
            </w:r>
          </w:p>
        </w:tc>
      </w:tr>
      <w:tr>
        <w:trPr>
          <w:trHeight w:val="2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6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300" w:type="dxa"/>
            <w:vAlign w:val="bottom"/>
            <w:tcBorders>
              <w:bottom w:val="single" w:sz="8" w:color="E5E5E5"/>
            </w:tcBorders>
            <w:shd w:val="clear" w:color="auto" w:fill="E5E5E5"/>
          </w:tcPr>
          <w:p>
            <w:pPr>
              <w:spacing w:after="0"/>
              <w:rPr>
                <w:sz w:val="21"/>
                <w:szCs w:val="21"/>
                <w:color w:val="auto"/>
              </w:rPr>
            </w:pPr>
          </w:p>
        </w:tc>
        <w:tc>
          <w:tcPr>
            <w:tcW w:w="1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3.50 %</w:t>
            </w:r>
          </w:p>
        </w:tc>
        <w:tc>
          <w:tcPr>
            <w:tcW w:w="2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E5E5E5"/>
            </w:tcBorders>
            <w:shd w:val="clear" w:color="auto" w:fill="E5E5E5"/>
          </w:tcPr>
          <w:p>
            <w:pPr>
              <w:spacing w:after="0"/>
              <w:rPr>
                <w:sz w:val="21"/>
                <w:szCs w:val="21"/>
                <w:color w:val="auto"/>
              </w:rPr>
            </w:pPr>
          </w:p>
        </w:tc>
        <w:tc>
          <w:tcPr>
            <w:tcW w:w="1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4.14 %</w:t>
            </w:r>
          </w:p>
        </w:tc>
      </w:tr>
      <w:tr>
        <w:trPr>
          <w:trHeight w:val="247"/>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fair value of the convertible notes is measured based on the present value of the notes based on the fair market yield to maturity and an estimate of the probability of the notes’ conversion features. The fair market yield was estimated based on publicly traded debt securities with similar maturities and risk. During the nine months ended September 30, 2024, the Company settled the convertible notes through the issuance of Series C-1 redeemable convertible preferred stock to the noteholders (See Note 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preparing discounted cash flow for valuing the convertible notes as of right before the conversion date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15,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15,</w:t>
            </w:r>
          </w:p>
        </w:tc>
      </w:tr>
      <w:tr>
        <w:trPr>
          <w:trHeight w:val="235"/>
        </w:trPr>
        <w:tc>
          <w:tcPr>
            <w:tcW w:w="9600" w:type="dxa"/>
            <w:vAlign w:val="bottom"/>
            <w:tcBorders>
              <w:bottom w:val="single" w:sz="8" w:color="E5E5E5"/>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43"/>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Principal outstanding (in $’000s)</w:t>
            </w:r>
          </w:p>
        </w:tc>
        <w:tc>
          <w:tcPr>
            <w:tcW w:w="1640" w:type="dxa"/>
            <w:vAlign w:val="bottom"/>
            <w:tcBorders>
              <w:bottom w:val="single" w:sz="8" w:color="E5E5E5"/>
            </w:tcBorders>
            <w:shd w:val="clear" w:color="auto" w:fill="E5E5E5"/>
          </w:tcPr>
          <w:p>
            <w:pPr>
              <w:jc w:val="right"/>
              <w:ind w:right="150"/>
              <w:spacing w:after="0"/>
              <w:rPr>
                <w:sz w:val="20"/>
                <w:szCs w:val="20"/>
                <w:color w:val="auto"/>
              </w:rPr>
            </w:pPr>
            <w:r>
              <w:rPr>
                <w:rFonts w:ascii="Arial" w:cs="Arial" w:eastAsia="Arial" w:hAnsi="Arial"/>
                <w:sz w:val="18"/>
                <w:szCs w:val="18"/>
                <w:color w:val="auto"/>
              </w:rPr>
              <w:t>30,000</w:t>
            </w: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1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5.46 %</w:t>
            </w: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8.00 %</w:t>
            </w:r>
          </w:p>
        </w:tc>
      </w:tr>
    </w:tbl>
    <w:p>
      <w:pPr>
        <w:spacing w:after="0" w:line="3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August 2024, the Company entered into a new term loan agreement for which the Company elected to account for using the fair value option. As such, the fair value of the debt is calculated by using the probability weighting of the present value of settlement scenarios (See Note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preparing the income approach model for valuing the new term loan as of September 30,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2000" w:type="dxa"/>
            <w:vAlign w:val="bottom"/>
            <w:gridSpan w:val="2"/>
          </w:tcPr>
          <w:p>
            <w:pPr>
              <w:ind w:left="340"/>
              <w:spacing w:after="0"/>
              <w:rPr>
                <w:sz w:val="20"/>
                <w:szCs w:val="20"/>
                <w:color w:val="auto"/>
              </w:rPr>
            </w:pPr>
            <w:r>
              <w:rPr>
                <w:rFonts w:ascii="Arial" w:cs="Arial" w:eastAsia="Arial" w:hAnsi="Arial"/>
                <w:sz w:val="18"/>
                <w:szCs w:val="18"/>
                <w:b w:val="1"/>
                <w:bCs w:val="1"/>
                <w:color w:val="auto"/>
              </w:rPr>
              <w:t>September 30,</w:t>
            </w:r>
          </w:p>
        </w:tc>
        <w:tc>
          <w:tcPr>
            <w:tcW w:w="1900" w:type="dxa"/>
            <w:vAlign w:val="bottom"/>
          </w:tcPr>
          <w:p>
            <w:pPr>
              <w:ind w:left="36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7320" w:type="dxa"/>
            <w:vAlign w:val="bottom"/>
            <w:tcBorders>
              <w:bottom w:val="single" w:sz="8" w:color="E5E5E5"/>
            </w:tcBorders>
          </w:tcPr>
          <w:p>
            <w:pPr>
              <w:spacing w:after="0"/>
              <w:rPr>
                <w:sz w:val="21"/>
                <w:szCs w:val="21"/>
                <w:color w:val="auto"/>
              </w:rPr>
            </w:pPr>
          </w:p>
        </w:tc>
        <w:tc>
          <w:tcPr>
            <w:tcW w:w="19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1"/>
                <w:szCs w:val="21"/>
                <w:color w:val="auto"/>
              </w:rPr>
            </w:pPr>
          </w:p>
        </w:tc>
        <w:tc>
          <w:tcPr>
            <w:tcW w:w="19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2024</w:t>
            </w:r>
          </w:p>
        </w:tc>
      </w:tr>
      <w:tr>
        <w:trPr>
          <w:trHeight w:val="243"/>
        </w:trPr>
        <w:tc>
          <w:tcPr>
            <w:tcW w:w="73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Discount rate</w:t>
            </w:r>
          </w:p>
        </w:tc>
        <w:tc>
          <w:tcPr>
            <w:tcW w:w="1900" w:type="dxa"/>
            <w:vAlign w:val="bottom"/>
            <w:tcBorders>
              <w:bottom w:val="single" w:sz="8" w:color="E5E5E5"/>
            </w:tcBorders>
            <w:shd w:val="clear" w:color="auto" w:fill="E5E5E5"/>
          </w:tcPr>
          <w:p>
            <w:pPr>
              <w:ind w:left="1300"/>
              <w:spacing w:after="0"/>
              <w:rPr>
                <w:sz w:val="20"/>
                <w:szCs w:val="20"/>
                <w:color w:val="auto"/>
              </w:rPr>
            </w:pPr>
            <w:r>
              <w:rPr>
                <w:rFonts w:ascii="Arial" w:cs="Arial" w:eastAsia="Arial" w:hAnsi="Arial"/>
                <w:sz w:val="18"/>
                <w:szCs w:val="18"/>
                <w:color w:val="auto"/>
              </w:rPr>
              <w:t>8.02 %</w:t>
            </w:r>
          </w:p>
        </w:tc>
        <w:tc>
          <w:tcPr>
            <w:tcW w:w="100" w:type="dxa"/>
            <w:vAlign w:val="bottom"/>
            <w:tcBorders>
              <w:bottom w:val="single" w:sz="8" w:color="E5E5E5"/>
            </w:tcBorders>
            <w:shd w:val="clear" w:color="auto" w:fill="E5E5E5"/>
          </w:tcPr>
          <w:p>
            <w:pPr>
              <w:spacing w:after="0"/>
              <w:rPr>
                <w:sz w:val="21"/>
                <w:szCs w:val="21"/>
                <w:color w:val="auto"/>
              </w:rPr>
            </w:pPr>
          </w:p>
        </w:tc>
        <w:tc>
          <w:tcPr>
            <w:tcW w:w="1900" w:type="dxa"/>
            <w:vAlign w:val="bottom"/>
            <w:tcBorders>
              <w:bottom w:val="single" w:sz="8" w:color="E5E5E5"/>
            </w:tcBorders>
            <w:shd w:val="clear" w:color="auto" w:fill="E5E5E5"/>
          </w:tcPr>
          <w:p>
            <w:pPr>
              <w:ind w:left="1300"/>
              <w:spacing w:after="0"/>
              <w:rPr>
                <w:sz w:val="20"/>
                <w:szCs w:val="20"/>
                <w:color w:val="auto"/>
              </w:rPr>
            </w:pPr>
            <w:r>
              <w:rPr>
                <w:rFonts w:ascii="Arial" w:cs="Arial" w:eastAsia="Arial" w:hAnsi="Arial"/>
                <w:sz w:val="18"/>
                <w:szCs w:val="18"/>
                <w:color w:val="auto"/>
              </w:rPr>
              <w:t>9.37 %</w:t>
            </w: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Annual interest rate</w:t>
            </w:r>
          </w:p>
        </w:tc>
        <w:tc>
          <w:tcPr>
            <w:tcW w:w="1900" w:type="dxa"/>
            <w:vAlign w:val="bottom"/>
          </w:tcPr>
          <w:p>
            <w:pPr>
              <w:ind w:left="1300"/>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8.00 %</w:t>
            </w:r>
          </w:p>
        </w:tc>
      </w:tr>
      <w:tr>
        <w:trPr>
          <w:trHeight w:val="2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Expected term (years) – Scenario 1</w:t>
            </w:r>
          </w:p>
        </w:tc>
        <w:tc>
          <w:tcPr>
            <w:tcW w:w="1900" w:type="dxa"/>
            <w:vAlign w:val="bottom"/>
            <w:tcBorders>
              <w:bottom w:val="single" w:sz="8" w:color="E5E5E5"/>
            </w:tcBorders>
            <w:shd w:val="clear" w:color="auto" w:fill="E5E5E5"/>
          </w:tcPr>
          <w:p>
            <w:pPr>
              <w:ind w:left="132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E5E5E5"/>
            </w:tcBorders>
            <w:shd w:val="clear" w:color="auto" w:fill="E5E5E5"/>
          </w:tcPr>
          <w:p>
            <w:pPr>
              <w:spacing w:after="0"/>
              <w:rPr>
                <w:sz w:val="21"/>
                <w:szCs w:val="21"/>
                <w:color w:val="auto"/>
              </w:rPr>
            </w:pPr>
          </w:p>
        </w:tc>
        <w:tc>
          <w:tcPr>
            <w:tcW w:w="1900" w:type="dxa"/>
            <w:vAlign w:val="bottom"/>
            <w:tcBorders>
              <w:bottom w:val="single" w:sz="8" w:color="E5E5E5"/>
            </w:tcBorders>
            <w:shd w:val="clear" w:color="auto" w:fill="E5E5E5"/>
          </w:tcPr>
          <w:p>
            <w:pPr>
              <w:ind w:left="1300"/>
              <w:spacing w:after="0"/>
              <w:rPr>
                <w:sz w:val="20"/>
                <w:szCs w:val="20"/>
                <w:color w:val="auto"/>
              </w:rPr>
            </w:pPr>
            <w:r>
              <w:rPr>
                <w:rFonts w:ascii="Arial" w:cs="Arial" w:eastAsia="Arial" w:hAnsi="Arial"/>
                <w:sz w:val="18"/>
                <w:szCs w:val="18"/>
                <w:color w:val="auto"/>
              </w:rPr>
              <w:t>5.32</w:t>
            </w: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Expected term (years) – Scenario 2</w:t>
            </w:r>
          </w:p>
        </w:tc>
        <w:tc>
          <w:tcPr>
            <w:tcW w:w="1900" w:type="dxa"/>
            <w:vAlign w:val="bottom"/>
          </w:tcPr>
          <w:p>
            <w:pPr>
              <w:ind w:left="13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6.69</w:t>
            </w:r>
          </w:p>
        </w:tc>
      </w:tr>
    </w:tbl>
    <w:p>
      <w:pPr>
        <w:spacing w:after="0" w:line="3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common stock warrants, redeemable convertible preferred stock warrants, convertible notes and term loan are all classified as Level 3 fair value measurements due to the lack of relevant observable market data for the respective fair value inputs for each instrument.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the changes in the fair value of the Company’s Level 3 financial instruments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rPr>
              <w:t>Redeemable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E5E5E5"/>
            </w:tcBorders>
          </w:tcPr>
          <w:p>
            <w:pPr>
              <w:spacing w:after="0"/>
              <w:rPr>
                <w:sz w:val="16"/>
                <w:szCs w:val="16"/>
                <w:color w:val="auto"/>
              </w:rPr>
            </w:pPr>
          </w:p>
        </w:tc>
        <w:tc>
          <w:tcPr>
            <w:tcW w:w="180" w:type="dxa"/>
            <w:vAlign w:val="bottom"/>
            <w:tcBorders>
              <w:bottom w:val="single" w:sz="8" w:color="E5E5E5"/>
            </w:tcBorders>
          </w:tcPr>
          <w:p>
            <w:pPr>
              <w:spacing w:after="0"/>
              <w:rPr>
                <w:sz w:val="16"/>
                <w:szCs w:val="16"/>
                <w:color w:val="auto"/>
              </w:rPr>
            </w:pPr>
          </w:p>
        </w:tc>
        <w:tc>
          <w:tcPr>
            <w:tcW w:w="13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December 31, 2024</w:t>
            </w:r>
          </w:p>
        </w:tc>
        <w:tc>
          <w:tcPr>
            <w:tcW w:w="18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right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5E5E5"/>
              <w:right w:val="single" w:sz="8" w:color="DBDBDB"/>
            </w:tcBorders>
            <w:shd w:val="clear" w:color="auto" w:fill="E5E5E5"/>
          </w:tcPr>
          <w:p>
            <w:pPr>
              <w:jc w:val="right"/>
              <w:ind w:right="15"/>
              <w:spacing w:after="0"/>
              <w:rPr>
                <w:sz w:val="20"/>
                <w:szCs w:val="20"/>
                <w:color w:val="auto"/>
              </w:rPr>
            </w:pPr>
            <w:r>
              <w:rPr>
                <w:rFonts w:ascii="Arial" w:cs="Arial" w:eastAsia="Arial" w:hAnsi="Arial"/>
                <w:sz w:val="18"/>
                <w:szCs w:val="18"/>
                <w:color w:val="auto"/>
              </w:rPr>
              <w:t>2,533</w:t>
            </w:r>
          </w:p>
        </w:tc>
        <w:tc>
          <w:tcPr>
            <w:tcW w:w="220" w:type="dxa"/>
            <w:vAlign w:val="bottom"/>
            <w:tcBorders>
              <w:left w:val="single" w:sz="8" w:color="DBDBDB"/>
              <w:bottom w:val="single" w:sz="8" w:color="E5E5E5"/>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5E5E5"/>
              <w:right w:val="single" w:sz="8" w:color="DBDBDB"/>
            </w:tcBorders>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DBDBDB"/>
              <w:right w:val="single" w:sz="8" w:color="E5E5E5"/>
            </w:tcBorders>
            <w:shd w:val="clear" w:color="auto" w:fill="DBDBDB"/>
          </w:tcPr>
          <w:p>
            <w:pPr>
              <w:spacing w:after="0"/>
              <w:rPr>
                <w:sz w:val="21"/>
                <w:szCs w:val="21"/>
                <w:color w:val="auto"/>
              </w:rPr>
            </w:pPr>
          </w:p>
        </w:tc>
        <w:tc>
          <w:tcPr>
            <w:tcW w:w="240" w:type="dxa"/>
            <w:vAlign w:val="bottom"/>
            <w:tcBorders>
              <w:bottom w:val="single" w:sz="8" w:color="E5E5E5"/>
            </w:tcBorders>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3"/>
        </w:trPr>
        <w:tc>
          <w:tcPr>
            <w:tcW w:w="4980" w:type="dxa"/>
            <w:vAlign w:val="bottom"/>
            <w:tcBorders>
              <w:bottom w:val="single" w:sz="8" w:color="E5E5E5"/>
            </w:tcBorders>
          </w:tcPr>
          <w:p>
            <w:pPr>
              <w:spacing w:after="0"/>
              <w:rPr>
                <w:sz w:val="2"/>
                <w:szCs w:val="2"/>
                <w:color w:val="auto"/>
              </w:rPr>
            </w:pPr>
          </w:p>
        </w:tc>
        <w:tc>
          <w:tcPr>
            <w:tcW w:w="180" w:type="dxa"/>
            <w:vAlign w:val="bottom"/>
            <w:tcBorders>
              <w:bottom w:val="single" w:sz="8" w:color="E5E5E5"/>
            </w:tcBorders>
          </w:tcPr>
          <w:p>
            <w:pPr>
              <w:spacing w:after="0"/>
              <w:rPr>
                <w:sz w:val="2"/>
                <w:szCs w:val="2"/>
                <w:color w:val="auto"/>
              </w:rPr>
            </w:pPr>
          </w:p>
        </w:tc>
        <w:tc>
          <w:tcPr>
            <w:tcW w:w="1320" w:type="dxa"/>
            <w:vAlign w:val="bottom"/>
            <w:tcBorders>
              <w:bottom w:val="single" w:sz="8" w:color="E5E5E5"/>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March 31, 2025</w:t>
            </w:r>
          </w:p>
        </w:tc>
        <w:tc>
          <w:tcPr>
            <w:tcW w:w="18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right w:val="single" w:sz="8" w:color="DBDBDB"/>
            </w:tcBorders>
            <w:shd w:val="clear" w:color="auto" w:fill="E5E5E5"/>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right w:val="single" w:sz="8" w:color="DBDBDB"/>
            </w:tcBorders>
            <w:shd w:val="clear" w:color="auto" w:fill="DBDBDB"/>
          </w:tcPr>
          <w:p>
            <w:pPr>
              <w:jc w:val="right"/>
              <w:ind w:right="15"/>
              <w:spacing w:after="0"/>
              <w:rPr>
                <w:sz w:val="20"/>
                <w:szCs w:val="20"/>
                <w:color w:val="auto"/>
              </w:rPr>
            </w:pPr>
            <w:r>
              <w:rPr>
                <w:rFonts w:ascii="Arial" w:cs="Arial" w:eastAsia="Arial" w:hAnsi="Arial"/>
                <w:sz w:val="18"/>
                <w:szCs w:val="18"/>
                <w:color w:val="auto"/>
              </w:rPr>
              <w:t>2,475</w:t>
            </w:r>
          </w:p>
        </w:tc>
        <w:tc>
          <w:tcPr>
            <w:tcW w:w="100" w:type="dxa"/>
            <w:vAlign w:val="bottom"/>
            <w:tcBorders>
              <w:left w:val="single" w:sz="8" w:color="DBDBDB"/>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53,278</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3"/>
        </w:trPr>
        <w:tc>
          <w:tcPr>
            <w:tcW w:w="4980" w:type="dxa"/>
            <w:vAlign w:val="bottom"/>
            <w:tcBorders>
              <w:bottom w:val="single" w:sz="8" w:color="E5E5E5"/>
            </w:tcBorders>
          </w:tcPr>
          <w:p>
            <w:pPr>
              <w:spacing w:after="0"/>
              <w:rPr>
                <w:sz w:val="2"/>
                <w:szCs w:val="2"/>
                <w:color w:val="auto"/>
              </w:rPr>
            </w:pPr>
          </w:p>
        </w:tc>
        <w:tc>
          <w:tcPr>
            <w:tcW w:w="180" w:type="dxa"/>
            <w:vAlign w:val="bottom"/>
            <w:tcBorders>
              <w:bottom w:val="single" w:sz="8" w:color="E5E5E5"/>
            </w:tcBorders>
          </w:tcPr>
          <w:p>
            <w:pPr>
              <w:spacing w:after="0"/>
              <w:rPr>
                <w:sz w:val="2"/>
                <w:szCs w:val="2"/>
                <w:color w:val="auto"/>
              </w:rPr>
            </w:pPr>
          </w:p>
        </w:tc>
        <w:tc>
          <w:tcPr>
            <w:tcW w:w="1320" w:type="dxa"/>
            <w:vAlign w:val="bottom"/>
            <w:tcBorders>
              <w:bottom w:val="single" w:sz="8" w:color="E5E5E5"/>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June 30, 2025</w:t>
            </w:r>
          </w:p>
        </w:tc>
        <w:tc>
          <w:tcPr>
            <w:tcW w:w="18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right w:val="single" w:sz="8" w:color="DBDBDB"/>
            </w:tcBorders>
            <w:shd w:val="clear" w:color="auto" w:fill="E5E5E5"/>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right w:val="single" w:sz="8" w:color="DBDBDB"/>
            </w:tcBorders>
            <w:shd w:val="clear" w:color="auto" w:fill="DBDBDB"/>
          </w:tcPr>
          <w:p>
            <w:pPr>
              <w:jc w:val="right"/>
              <w:ind w:right="15"/>
              <w:spacing w:after="0"/>
              <w:rPr>
                <w:sz w:val="20"/>
                <w:szCs w:val="20"/>
                <w:color w:val="auto"/>
              </w:rPr>
            </w:pPr>
            <w:r>
              <w:rPr>
                <w:rFonts w:ascii="Arial" w:cs="Arial" w:eastAsia="Arial" w:hAnsi="Arial"/>
                <w:sz w:val="18"/>
                <w:szCs w:val="18"/>
                <w:color w:val="auto"/>
              </w:rPr>
              <w:t>2,470</w:t>
            </w:r>
          </w:p>
        </w:tc>
        <w:tc>
          <w:tcPr>
            <w:tcW w:w="100" w:type="dxa"/>
            <w:vAlign w:val="bottom"/>
            <w:tcBorders>
              <w:left w:val="single" w:sz="8" w:color="DBDBDB"/>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52,072</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3"/>
        </w:trPr>
        <w:tc>
          <w:tcPr>
            <w:tcW w:w="4980" w:type="dxa"/>
            <w:vAlign w:val="bottom"/>
            <w:tcBorders>
              <w:bottom w:val="single" w:sz="8" w:color="E5E5E5"/>
            </w:tcBorders>
          </w:tcPr>
          <w:p>
            <w:pPr>
              <w:spacing w:after="0"/>
              <w:rPr>
                <w:sz w:val="2"/>
                <w:szCs w:val="2"/>
                <w:color w:val="auto"/>
              </w:rPr>
            </w:pPr>
          </w:p>
        </w:tc>
        <w:tc>
          <w:tcPr>
            <w:tcW w:w="180" w:type="dxa"/>
            <w:vAlign w:val="bottom"/>
            <w:tcBorders>
              <w:bottom w:val="single" w:sz="8" w:color="E5E5E5"/>
            </w:tcBorders>
          </w:tcPr>
          <w:p>
            <w:pPr>
              <w:spacing w:after="0"/>
              <w:rPr>
                <w:sz w:val="2"/>
                <w:szCs w:val="2"/>
                <w:color w:val="auto"/>
              </w:rPr>
            </w:pPr>
          </w:p>
        </w:tc>
        <w:tc>
          <w:tcPr>
            <w:tcW w:w="1320" w:type="dxa"/>
            <w:vAlign w:val="bottom"/>
            <w:tcBorders>
              <w:bottom w:val="single" w:sz="8" w:color="E5E5E5"/>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September 30, 2025</w:t>
            </w:r>
          </w:p>
        </w:tc>
        <w:tc>
          <w:tcPr>
            <w:tcW w:w="180" w:type="dxa"/>
            <w:vAlign w:val="bottom"/>
            <w:tcBorders>
              <w:bottom w:val="single" w:sz="8" w:color="E5E5E5"/>
            </w:tcBorders>
            <w:shd w:val="clear" w:color="auto" w:fill="E5E5E5"/>
          </w:tcPr>
          <w:p>
            <w:pPr>
              <w:spacing w:after="0"/>
              <w:rPr>
                <w:sz w:val="24"/>
                <w:szCs w:val="24"/>
                <w:color w:val="auto"/>
              </w:rPr>
            </w:pPr>
          </w:p>
        </w:tc>
        <w:tc>
          <w:tcPr>
            <w:tcW w:w="1320" w:type="dxa"/>
            <w:vAlign w:val="bottom"/>
            <w:tcBorders>
              <w:bottom w:val="single" w:sz="8" w:color="E5E5E5"/>
            </w:tcBorders>
            <w:shd w:val="clear" w:color="auto" w:fill="E5E5E5"/>
          </w:tcPr>
          <w:p>
            <w:pPr>
              <w:spacing w:after="0"/>
              <w:rPr>
                <w:sz w:val="24"/>
                <w:szCs w:val="24"/>
                <w:color w:val="auto"/>
              </w:rPr>
            </w:pPr>
          </w:p>
        </w:tc>
        <w:tc>
          <w:tcPr>
            <w:tcW w:w="100" w:type="dxa"/>
            <w:vAlign w:val="bottom"/>
            <w:tcBorders>
              <w:bottom w:val="single" w:sz="8" w:color="E5E5E5"/>
              <w:right w:val="single" w:sz="8" w:color="E5E5E5"/>
            </w:tcBorders>
            <w:shd w:val="clear" w:color="auto" w:fill="E5E5E5"/>
          </w:tcPr>
          <w:p>
            <w:pPr>
              <w:spacing w:after="0"/>
              <w:rPr>
                <w:sz w:val="24"/>
                <w:szCs w:val="24"/>
                <w:color w:val="auto"/>
              </w:rPr>
            </w:pP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5E5E5"/>
              <w:right w:val="single" w:sz="8" w:color="E5E5E5"/>
            </w:tcBorders>
            <w:shd w:val="clear" w:color="auto" w:fill="E5E5E5"/>
          </w:tcPr>
          <w:p>
            <w:pPr>
              <w:jc w:val="right"/>
              <w:ind w:right="15"/>
              <w:spacing w:after="0"/>
              <w:rPr>
                <w:sz w:val="20"/>
                <w:szCs w:val="20"/>
                <w:color w:val="auto"/>
              </w:rPr>
            </w:pPr>
            <w:r>
              <w:rPr>
                <w:rFonts w:ascii="Arial" w:cs="Arial" w:eastAsia="Arial" w:hAnsi="Arial"/>
                <w:sz w:val="18"/>
                <w:szCs w:val="18"/>
                <w:color w:val="auto"/>
              </w:rPr>
              <w:t>3,942</w:t>
            </w:r>
          </w:p>
        </w:tc>
        <w:tc>
          <w:tcPr>
            <w:tcW w:w="220" w:type="dxa"/>
            <w:vAlign w:val="bottom"/>
            <w:tcBorders>
              <w:left w:val="single" w:sz="8" w:color="E5E5E5"/>
              <w:bottom w:val="single" w:sz="8" w:color="E5E5E5"/>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Borders>
              <w:bottom w:val="single" w:sz="8" w:color="E5E5E5"/>
            </w:tcBorders>
            <w:gridSpan w:val="2"/>
            <w:shd w:val="clear" w:color="auto" w:fill="E5E5E5"/>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54,986</w:t>
            </w:r>
          </w:p>
        </w:tc>
        <w:tc>
          <w:tcPr>
            <w:tcW w:w="0" w:type="dxa"/>
            <w:vAlign w:val="bottom"/>
          </w:tcPr>
          <w:p>
            <w:pPr>
              <w:spacing w:after="0"/>
              <w:rPr>
                <w:sz w:val="1"/>
                <w:szCs w:val="1"/>
                <w:color w:val="auto"/>
              </w:rPr>
            </w:pPr>
          </w:p>
        </w:tc>
      </w:tr>
      <w:tr>
        <w:trPr>
          <w:trHeight w:val="20"/>
        </w:trPr>
        <w:tc>
          <w:tcPr>
            <w:tcW w:w="498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5"/>
              <w:spacing w:after="0"/>
              <w:rPr>
                <w:sz w:val="20"/>
                <w:szCs w:val="20"/>
                <w:color w:val="auto"/>
              </w:rPr>
            </w:pPr>
            <w:r>
              <w:rPr>
                <w:rFonts w:ascii="Arial" w:cs="Arial" w:eastAsia="Arial" w:hAnsi="Arial"/>
                <w:sz w:val="14"/>
                <w:szCs w:val="14"/>
                <w:b w:val="1"/>
                <w:bCs w:val="1"/>
                <w:color w:val="auto"/>
              </w:rPr>
              <w:t>Redeemable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75"/>
              <w:spacing w:after="0" w:line="139"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6"/>
                <w:szCs w:val="16"/>
                <w:color w:val="auto"/>
              </w:rPr>
            </w:pPr>
          </w:p>
        </w:tc>
        <w:tc>
          <w:tcPr>
            <w:tcW w:w="1340" w:type="dxa"/>
            <w:vAlign w:val="bottom"/>
          </w:tcPr>
          <w:p>
            <w:pPr>
              <w:jc w:val="center"/>
              <w:ind w:right="75"/>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8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December 31, 2023</w:t>
            </w:r>
          </w:p>
        </w:tc>
        <w:tc>
          <w:tcPr>
            <w:tcW w:w="18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DBDBDB"/>
              <w:left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47,686</w:t>
            </w:r>
          </w:p>
        </w:tc>
        <w:tc>
          <w:tcPr>
            <w:tcW w:w="10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E5E5E5"/>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980" w:type="dxa"/>
            <w:vAlign w:val="bottom"/>
            <w:tcBorders>
              <w:bottom w:val="single" w:sz="8" w:color="E5E5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March 31, 2024</w:t>
            </w:r>
          </w:p>
        </w:tc>
        <w:tc>
          <w:tcPr>
            <w:tcW w:w="18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left w:val="single" w:sz="8" w:color="DBDBDB"/>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48,023</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Gain on extinguishment</w:t>
            </w:r>
          </w:p>
        </w:tc>
        <w:tc>
          <w:tcPr>
            <w:tcW w:w="18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right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DBDBDB"/>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980" w:type="dxa"/>
            <w:vAlign w:val="bottom"/>
            <w:tcBorders>
              <w:bottom w:val="single" w:sz="8" w:color="E5E5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June 30, 2024</w:t>
            </w:r>
          </w:p>
        </w:tc>
        <w:tc>
          <w:tcPr>
            <w:tcW w:w="18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left w:val="single" w:sz="8" w:color="DBDBDB"/>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right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Adjustments to fair value</w:t>
            </w:r>
          </w:p>
        </w:tc>
        <w:tc>
          <w:tcPr>
            <w:tcW w:w="180" w:type="dxa"/>
            <w:vAlign w:val="bottom"/>
            <w:tcBorders>
              <w:bottom w:val="single" w:sz="8" w:color="DBDBDB"/>
            </w:tcBorders>
            <w:shd w:val="clear" w:color="auto" w:fill="DBDBDB"/>
          </w:tcPr>
          <w:p>
            <w:pPr>
              <w:spacing w:after="0"/>
              <w:rPr>
                <w:sz w:val="23"/>
                <w:szCs w:val="23"/>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DBDBDB"/>
              <w:right w:val="single" w:sz="8" w:color="DBDBDB"/>
            </w:tcBorders>
            <w:shd w:val="clear" w:color="auto" w:fill="DBDBDB"/>
          </w:tcPr>
          <w:p>
            <w:pPr>
              <w:spacing w:after="0"/>
              <w:rPr>
                <w:sz w:val="23"/>
                <w:szCs w:val="23"/>
                <w:color w:val="auto"/>
              </w:rPr>
            </w:pPr>
          </w:p>
        </w:tc>
        <w:tc>
          <w:tcPr>
            <w:tcW w:w="160" w:type="dxa"/>
            <w:vAlign w:val="bottom"/>
            <w:tcBorders>
              <w:bottom w:val="single" w:sz="8" w:color="DBDBDB"/>
            </w:tcBorders>
            <w:shd w:val="clear" w:color="auto" w:fill="DBDBDB"/>
          </w:tcPr>
          <w:p>
            <w:pPr>
              <w:spacing w:after="0"/>
              <w:rPr>
                <w:sz w:val="23"/>
                <w:szCs w:val="23"/>
                <w:color w:val="auto"/>
              </w:rPr>
            </w:pPr>
          </w:p>
        </w:tc>
        <w:tc>
          <w:tcPr>
            <w:tcW w:w="134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left w:val="single" w:sz="8" w:color="DBDBDB"/>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13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right w:val="single" w:sz="8" w:color="DBDBDB"/>
            </w:tcBorders>
            <w:shd w:val="clear" w:color="auto" w:fill="DBDBDB"/>
          </w:tcPr>
          <w:p>
            <w:pPr>
              <w:spacing w:after="0"/>
              <w:rPr>
                <w:sz w:val="23"/>
                <w:szCs w:val="23"/>
                <w:color w:val="auto"/>
              </w:rPr>
            </w:pPr>
          </w:p>
        </w:tc>
        <w:tc>
          <w:tcPr>
            <w:tcW w:w="240" w:type="dxa"/>
            <w:vAlign w:val="bottom"/>
            <w:tcBorders>
              <w:bottom w:val="single" w:sz="8" w:color="DBDBDB"/>
            </w:tcBorders>
            <w:shd w:val="clear" w:color="auto" w:fill="DBDBDB"/>
          </w:tcPr>
          <w:p>
            <w:pPr>
              <w:spacing w:after="0"/>
              <w:rPr>
                <w:sz w:val="23"/>
                <w:szCs w:val="23"/>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89"/>
        </w:trPr>
        <w:tc>
          <w:tcPr>
            <w:tcW w:w="4980" w:type="dxa"/>
            <w:vAlign w:val="bottom"/>
          </w:tcPr>
          <w:p>
            <w:pPr>
              <w:ind w:left="20"/>
              <w:spacing w:after="0"/>
              <w:rPr>
                <w:sz w:val="20"/>
                <w:szCs w:val="20"/>
                <w:color w:val="auto"/>
              </w:rPr>
            </w:pPr>
            <w:r>
              <w:rPr>
                <w:rFonts w:ascii="Arial" w:cs="Arial" w:eastAsia="Arial" w:hAnsi="Arial"/>
                <w:sz w:val="18"/>
                <w:szCs w:val="18"/>
                <w:color w:val="auto"/>
              </w:rPr>
              <w:t>Balance at September 30, 2024</w:t>
            </w:r>
          </w:p>
        </w:tc>
        <w:tc>
          <w:tcPr>
            <w:tcW w:w="18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4"/>
                <w:szCs w:val="24"/>
                <w:color w:val="auto"/>
              </w:rPr>
            </w:pPr>
          </w:p>
        </w:tc>
        <w:tc>
          <w:tcPr>
            <w:tcW w:w="16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1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auto"/>
              <w:bottom w:val="single" w:sz="8" w:color="E5E5E5"/>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51,650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and nine months ended September 30, 2025 and 2024, the Company recognized losses related to the change in the fair value of the common stock warrant liability and redeemable convertible preferred stock warrant liability in other expense, net in the statements of operations and comprehensive income (loss). The Company will continue to recognize changes in the fair value of the common stock warrant liability and redeemable convertible preferred stock warrant liability until the warrants are exercised, expire, or qualify for equity classification.</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nine months ended September 30, 2024, the Company recognized losses related to the change in the fair value of convertible notes in change in fair value of convertible notes in the statements of operations and comprehensive income (loss). During the nine months ended September 30, 2024, the convertible notes were settled in Series C-1 Redeemable Convertible Preferred Stock which was accounted for as a debt extinguishment as the settlement was not pursuant to the original conversion terms. The Company recorded a gain on extinguishment in net gain on extinguishment of debt in the statements of operations and comprehensive income (loss) upon the conversion date (See Note 7).</w:t>
      </w:r>
    </w:p>
    <w:p>
      <w:pPr>
        <w:spacing w:after="0" w:line="18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months ended September 30, 2025 and 2024 and the nine months ended September 30, 2025 and 2024, the Company recognized a loss related to the change in fair value of the term loan in change in fair value of term loan in the statements of operations and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warrant liability and redeemable convertible preferred stock warrant liabilities are recorded within other non-</w:t>
      </w:r>
    </w:p>
    <w:p>
      <w:pPr>
        <w:spacing w:after="0" w:line="2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current liabilities on the balance sheets as of September 30, 2025 and December 31, 2024. The term loan is recorded within long-term debt on the balance sheet as of September 30, 2025 and December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recognizes transfers among Level 1, Level 2 and Level 3 classifications as of the actual date of the events or change in circumstances that caused the transfers. During the three and nine months ended September 30, 2025 and 2024, the Company had no transfers of financial assets or liabilities between different levels of the fair value hierarchy.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4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43"/>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professional services</w:t>
            </w:r>
          </w:p>
        </w:tc>
        <w:tc>
          <w:tcPr>
            <w:tcW w:w="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898</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fixed asset purchases</w:t>
            </w: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798</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Insurance payor liability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property and other taxes</w:t>
            </w: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443</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Accrued information technology purchases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legal expense</w:t>
            </w: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191</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Accrued phlebotomy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insurance expense</w:t>
            </w: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159</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Accrued rent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clinical expenses</w:t>
            </w: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98</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
        </w:trPr>
        <w:tc>
          <w:tcPr>
            <w:tcW w:w="814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E5E5E5"/>
            </w:tcBorders>
            <w:shd w:val="clear" w:color="auto" w:fill="E5E5E5"/>
          </w:tcPr>
          <w:p>
            <w:pPr>
              <w:spacing w:after="0"/>
              <w:rPr>
                <w:sz w:val="24"/>
                <w:szCs w:val="24"/>
                <w:color w:val="auto"/>
              </w:rPr>
            </w:pPr>
          </w:p>
        </w:tc>
        <w:tc>
          <w:tcPr>
            <w:tcW w:w="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3,882</w:t>
            </w:r>
          </w:p>
        </w:tc>
      </w:tr>
      <w:tr>
        <w:trPr>
          <w:trHeight w:val="20"/>
        </w:trPr>
        <w:tc>
          <w:tcPr>
            <w:tcW w:w="81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Redeemable Convertible Preferred Stock</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September 30, 2025 and December 31, 2024, redeemable convertible preferred stock consisted of the following (in thousands, except for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Issued</w:t>
            </w:r>
          </w:p>
        </w:tc>
        <w:tc>
          <w:tcPr>
            <w:tcW w:w="20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Net Carrying</w:t>
            </w:r>
          </w:p>
        </w:tc>
        <w:tc>
          <w:tcPr>
            <w:tcW w:w="24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44"/>
        </w:trPr>
        <w:tc>
          <w:tcPr>
            <w:tcW w:w="548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A-1</w:t>
            </w:r>
          </w:p>
        </w:tc>
        <w:tc>
          <w:tcPr>
            <w:tcW w:w="124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1,349,650</w:t>
            </w:r>
          </w:p>
        </w:tc>
        <w:tc>
          <w:tcPr>
            <w:tcW w:w="100" w:type="dxa"/>
            <w:vAlign w:val="bottom"/>
            <w:tcBorders>
              <w:top w:val="single" w:sz="8" w:color="E5E5E5"/>
              <w:bottom w:val="single" w:sz="8" w:color="E5E5E5"/>
            </w:tcBorders>
            <w:shd w:val="clear" w:color="auto" w:fill="E5E5E5"/>
          </w:tcPr>
          <w:p>
            <w:pPr>
              <w:spacing w:after="0"/>
              <w:rPr>
                <w:sz w:val="21"/>
                <w:szCs w:val="21"/>
                <w:color w:val="auto"/>
              </w:rPr>
            </w:pPr>
          </w:p>
        </w:tc>
        <w:tc>
          <w:tcPr>
            <w:tcW w:w="13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1,349,650</w:t>
            </w:r>
          </w:p>
        </w:tc>
        <w:tc>
          <w:tcPr>
            <w:tcW w:w="100" w:type="dxa"/>
            <w:vAlign w:val="bottom"/>
            <w:tcBorders>
              <w:top w:val="single" w:sz="8" w:color="E5E5E5"/>
              <w:bottom w:val="single" w:sz="8" w:color="E5E5E5"/>
            </w:tcBorders>
            <w:shd w:val="clear" w:color="auto" w:fill="E5E5E5"/>
          </w:tcPr>
          <w:p>
            <w:pPr>
              <w:spacing w:after="0"/>
              <w:rPr>
                <w:sz w:val="21"/>
                <w:szCs w:val="21"/>
                <w:color w:val="auto"/>
              </w:rPr>
            </w:pPr>
          </w:p>
        </w:tc>
        <w:tc>
          <w:tcPr>
            <w:tcW w:w="20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top w:val="single" w:sz="8" w:color="E5E5E5"/>
              <w:bottom w:val="single" w:sz="8" w:color="E5E5E5"/>
            </w:tcBorders>
            <w:shd w:val="clear" w:color="auto" w:fill="E5E5E5"/>
          </w:tcPr>
          <w:p>
            <w:pPr>
              <w:spacing w:after="0"/>
              <w:rPr>
                <w:sz w:val="21"/>
                <w:szCs w:val="21"/>
                <w:color w:val="auto"/>
              </w:rPr>
            </w:pPr>
          </w:p>
        </w:tc>
        <w:tc>
          <w:tcPr>
            <w:tcW w:w="240" w:type="dxa"/>
            <w:vAlign w:val="bottom"/>
            <w:tcBorders>
              <w:top w:val="single" w:sz="8" w:color="auto"/>
              <w:bottom w:val="single" w:sz="8" w:color="E5E5E5"/>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240" w:type="dxa"/>
            <w:vAlign w:val="bottom"/>
          </w:tcPr>
          <w:p>
            <w:pPr>
              <w:jc w:val="right"/>
              <w:spacing w:after="0"/>
              <w:rPr>
                <w:sz w:val="20"/>
                <w:szCs w:val="20"/>
                <w:color w:val="auto"/>
              </w:rPr>
            </w:pPr>
            <w:r>
              <w:rPr>
                <w:rFonts w:ascii="Arial" w:cs="Arial" w:eastAsia="Arial" w:hAnsi="Arial"/>
                <w:sz w:val="18"/>
                <w:szCs w:val="18"/>
                <w:color w:val="auto"/>
              </w:rPr>
              <w:t>1,137,210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1,137,210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A-3</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899,730</w:t>
            </w:r>
          </w:p>
        </w:tc>
        <w:tc>
          <w:tcPr>
            <w:tcW w:w="10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899,730</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Series A-4</w:t>
            </w:r>
          </w:p>
        </w:tc>
        <w:tc>
          <w:tcPr>
            <w:tcW w:w="124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A-5</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114,613</w:t>
            </w:r>
          </w:p>
        </w:tc>
        <w:tc>
          <w:tcPr>
            <w:tcW w:w="10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114,613</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Series A-6</w:t>
            </w:r>
          </w:p>
        </w:tc>
        <w:tc>
          <w:tcPr>
            <w:tcW w:w="1240" w:type="dxa"/>
            <w:vAlign w:val="bottom"/>
          </w:tcPr>
          <w:p>
            <w:pPr>
              <w:jc w:val="right"/>
              <w:spacing w:after="0"/>
              <w:rPr>
                <w:sz w:val="20"/>
                <w:szCs w:val="20"/>
                <w:color w:val="auto"/>
              </w:rPr>
            </w:pPr>
            <w:r>
              <w:rPr>
                <w:rFonts w:ascii="Arial" w:cs="Arial" w:eastAsia="Arial" w:hAnsi="Arial"/>
                <w:sz w:val="18"/>
                <w:szCs w:val="18"/>
                <w:color w:val="auto"/>
              </w:rPr>
              <w:t>5,805,861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5,796,201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B-1</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5,182,287</w:t>
            </w:r>
          </w:p>
        </w:tc>
        <w:tc>
          <w:tcPr>
            <w:tcW w:w="10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5,182,287</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54,889</w:t>
            </w:r>
          </w:p>
        </w:tc>
        <w:tc>
          <w:tcPr>
            <w:tcW w:w="10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Series B-2</w:t>
            </w:r>
          </w:p>
        </w:tc>
        <w:tc>
          <w:tcPr>
            <w:tcW w:w="1240" w:type="dxa"/>
            <w:vAlign w:val="bottom"/>
          </w:tcPr>
          <w:p>
            <w:pPr>
              <w:jc w:val="right"/>
              <w:spacing w:after="0"/>
              <w:rPr>
                <w:sz w:val="20"/>
                <w:szCs w:val="20"/>
                <w:color w:val="auto"/>
              </w:rPr>
            </w:pPr>
            <w:r>
              <w:rPr>
                <w:rFonts w:ascii="Arial" w:cs="Arial" w:eastAsia="Arial" w:hAnsi="Arial"/>
                <w:sz w:val="18"/>
                <w:szCs w:val="18"/>
                <w:color w:val="auto"/>
              </w:rPr>
              <w:t>2,566,902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2,566,902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6,079,919</w:t>
            </w:r>
          </w:p>
        </w:tc>
        <w:tc>
          <w:tcPr>
            <w:tcW w:w="10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5,628,825</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143,268</w:t>
            </w:r>
          </w:p>
        </w:tc>
        <w:tc>
          <w:tcPr>
            <w:tcW w:w="10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E5E5E5"/>
            </w:tcBorders>
            <w:shd w:val="clear" w:color="auto" w:fill="E5E5E5"/>
          </w:tcPr>
          <w:p>
            <w:pPr>
              <w:spacing w:after="0"/>
              <w:rPr>
                <w:sz w:val="21"/>
                <w:szCs w:val="21"/>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240" w:type="dxa"/>
            <w:vAlign w:val="bottom"/>
          </w:tcPr>
          <w:p>
            <w:pPr>
              <w:jc w:val="right"/>
              <w:spacing w:after="0"/>
              <w:rPr>
                <w:sz w:val="20"/>
                <w:szCs w:val="20"/>
                <w:color w:val="auto"/>
              </w:rPr>
            </w:pPr>
            <w:r>
              <w:rPr>
                <w:rFonts w:ascii="Arial" w:cs="Arial" w:eastAsia="Arial" w:hAnsi="Arial"/>
                <w:sz w:val="18"/>
                <w:szCs w:val="18"/>
                <w:color w:val="auto"/>
              </w:rPr>
              <w:t>1,726,823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1,726,823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D</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4,656,233</w:t>
            </w:r>
          </w:p>
        </w:tc>
        <w:tc>
          <w:tcPr>
            <w:tcW w:w="100" w:type="dxa"/>
            <w:vAlign w:val="bottom"/>
            <w:tcBorders>
              <w:bottom w:val="single" w:sz="8" w:color="E5E5E5"/>
            </w:tcBorders>
            <w:shd w:val="clear" w:color="auto" w:fill="E5E5E5"/>
          </w:tcPr>
          <w:p>
            <w:pPr>
              <w:spacing w:after="0"/>
              <w:rPr>
                <w:sz w:val="23"/>
                <w:szCs w:val="23"/>
                <w:color w:val="auto"/>
              </w:rPr>
            </w:pP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4,656,233</w:t>
            </w:r>
          </w:p>
        </w:tc>
        <w:tc>
          <w:tcPr>
            <w:tcW w:w="100" w:type="dxa"/>
            <w:vAlign w:val="bottom"/>
            <w:tcBorders>
              <w:bottom w:val="single" w:sz="8" w:color="E5E5E5"/>
            </w:tcBorders>
            <w:shd w:val="clear" w:color="auto" w:fill="E5E5E5"/>
          </w:tcPr>
          <w:p>
            <w:pPr>
              <w:spacing w:after="0"/>
              <w:rPr>
                <w:sz w:val="23"/>
                <w:szCs w:val="23"/>
                <w:color w:val="auto"/>
              </w:rPr>
            </w:pPr>
          </w:p>
        </w:tc>
        <w:tc>
          <w:tcPr>
            <w:tcW w:w="200" w:type="dxa"/>
            <w:vAlign w:val="bottom"/>
            <w:tcBorders>
              <w:bottom w:val="single" w:sz="8" w:color="E5E5E5"/>
            </w:tcBorders>
            <w:shd w:val="clear" w:color="auto" w:fill="E5E5E5"/>
          </w:tcPr>
          <w:p>
            <w:pPr>
              <w:spacing w:after="0"/>
              <w:rPr>
                <w:sz w:val="23"/>
                <w:szCs w:val="23"/>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129,996</w:t>
            </w:r>
          </w:p>
        </w:tc>
        <w:tc>
          <w:tcPr>
            <w:tcW w:w="100" w:type="dxa"/>
            <w:vAlign w:val="bottom"/>
            <w:tcBorders>
              <w:bottom w:val="single" w:sz="8" w:color="E5E5E5"/>
            </w:tcBorders>
            <w:shd w:val="clear" w:color="auto" w:fill="E5E5E5"/>
          </w:tcPr>
          <w:p>
            <w:pPr>
              <w:spacing w:after="0"/>
              <w:rPr>
                <w:sz w:val="23"/>
                <w:szCs w:val="23"/>
                <w:color w:val="auto"/>
              </w:rPr>
            </w:pPr>
          </w:p>
        </w:tc>
        <w:tc>
          <w:tcPr>
            <w:tcW w:w="240" w:type="dxa"/>
            <w:vAlign w:val="bottom"/>
            <w:tcBorders>
              <w:bottom w:val="single" w:sz="8" w:color="E5E5E5"/>
            </w:tcBorders>
            <w:shd w:val="clear" w:color="auto" w:fill="E5E5E5"/>
          </w:tcPr>
          <w:p>
            <w:pPr>
              <w:spacing w:after="0"/>
              <w:rPr>
                <w:sz w:val="23"/>
                <w:szCs w:val="23"/>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156,563</w:t>
            </w:r>
          </w:p>
        </w:tc>
        <w:tc>
          <w:tcPr>
            <w:tcW w:w="0" w:type="dxa"/>
            <w:vAlign w:val="bottom"/>
          </w:tcPr>
          <w:p>
            <w:pPr>
              <w:spacing w:after="0"/>
              <w:rPr>
                <w:sz w:val="1"/>
                <w:szCs w:val="1"/>
                <w:color w:val="auto"/>
              </w:rPr>
            </w:pPr>
          </w:p>
        </w:tc>
      </w:tr>
      <w:tr>
        <w:trPr>
          <w:trHeight w:val="240"/>
        </w:trPr>
        <w:tc>
          <w:tcPr>
            <w:tcW w:w="5480" w:type="dxa"/>
            <w:vAlign w:val="bottom"/>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29,544,989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419,409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422,458</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60" w:firstLine="8"/>
        <w:spacing w:after="0" w:line="375"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of which the outcome, if determined adversely, would individually or in the aggregate be expected to have a material and adverse effect on the business, operating results, cash flows, or financial position. Legal fees are expensed in the period in which they are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As of September 30, 2025 and December 31, 2024,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September 30, 2025 and December 31,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September 2022, the Company entered into a Note Purchase Agreement for unsecured Convertible Promissory Notes (the “Notes”) to several note holders (the “Note Holders”) with a principal sum of $30.0 million together with interest thereon from the date of the Notes. The Notes accrue interest at a rate of 8.0% per annum, simple interest. The Notes were scheduled to mature on September 20, 2024, and the Company may not make prepayments without written consent of the majority Note holders.</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May 2024, concurrent with the issuance of Series D redeemable convertible preferred stock, and pursuant to negotiation with the Note Holders, the Company and Note Holders agreed to settle the Notes through the issuance of Series C-1 redeemable convertible preferred stock to the Note Holders instead of Series D redeemable convertible preferred stock. The Notes converted into an aggregate of 1,726,823 shares of Series C-1 redeemable convertible preferred stock at a conversion price of approximately $19.6143 per share. The change in terms of the Notes was accounted for as a debt extinguishment as the settlement was not pursuant to the original conversion terms. Immediately prior to the extinguishment, the Company recorded a mark-to-market adjustment for the Notes resulting in a loss of $0.8 million for the nine months ended September 30, 2024 which was recorded to change in fair value of convertible notes in the Company’s statements of operations and comprehensive income (loss). Upon extinguishment, the Company derecognized the Notes on the balance sheets at their fair value immediately prior to the extinguishment of $48.5 million. The difference of $8.6 million between the fair market value of the Series C-1 redeemable convertible preferred shares received by the Note Holders of $39.9 million and the fair value of the Notes immediately prior to the extinguishment was recorded as a gain on debt extinguishment in the Company’s statements of operations and comprehensive income (loss) for the nine months ended September 30, 2024.</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Oberland Note Purchase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2024, the Company entered into a note purchase agreement (the “2024 Notes”) with BWCB SA LLC, an entity affiliated with Oberland Capital Management, LLC (“Oberland Capital”), which provided the Company with up to four tranches of capital advances totaling up to $140.0 million. The advanced principal accrues interest at a rate of 8.0% per annum. The first tranche of $50.0 million was advanced on August 5, 2024, with a Maturity Date on the seventh anniversary of the first purchase date (August 5, 2031). The first tranche requires interest-only payments through August 5, 2031 and a lump sum payment due on August 5, 2031.</w:t>
      </w:r>
    </w:p>
    <w:p>
      <w:pPr>
        <w:spacing w:after="0" w:line="17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second tranche of up to $35.0 million in principal was available at the Company’s option at any time prior to September 30, 2025 provided that the trailing six-month worldwide net revenue of the Company is at least $80.0 million. The Company did not elect the option to draw on the second tranche.</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required to sell the third tranche of notes in the amount of $30.0 million prior to March 31, 2026 as the Company achieved the revenue and gross margin thresholds triggering this obligation during the first half of fiscal 2025. The thresholds triggering this tranche are trailing six-month revenue of at least $112.5 million and a trailing six-month gross margin of at least 45%. Gross Margin is defined as (I) net revenue minus cost of goods sold divided by (II) net revenue, expressed as a percentage. The terms of the third tranche are identical to those of the first $50 million tranche. Lastly, the fourth tranche of up to $25.0 million in principal will be made available to the Company at the mutual agreement of the parties at any time prior to March 31, 2026.</w:t>
      </w:r>
    </w:p>
    <w:p>
      <w:pPr>
        <w:spacing w:after="0" w:line="1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the option at any time to prepay all of the then-outstanding notes, and Oberland Capital has the option to redeem the notes upon (i) a change in control of the Company, (ii) an event of default, or (iii) the maturity date. The redemption price of the note shall equal to the following: (1) 130% of principal amounts of notes if the payment is made within 24 months of issuance; (2)145% of principal amounts of notes if the payment is made within 36 months of issuance; (3) If the payment is made within 48 months, an amount that would generate an internal rate of return (“IRR”) of 12.25%; (4) if the payment is made within 60 months of the issuance, an amount that would generate an IRR of 11.75%; (5) if the payment is made thereafter but before maturity, an amount that would generate an IRR of 11.25%; and (6) if the payment is made at maturity, an amount that would generate an IRR of 10.0%.</w:t>
      </w:r>
    </w:p>
    <w:p>
      <w:pPr>
        <w:spacing w:after="0" w:line="18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is required to maintain trailing six-month net revenue based on a schedule that gradually increases up to $120.0 million after the year ending December 31, 2026.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76"/>
              <w:spacing w:after="0"/>
              <w:rPr>
                <w:sz w:val="20"/>
                <w:szCs w:val="20"/>
                <w:color w:val="auto"/>
              </w:rPr>
            </w:pPr>
            <w:r>
              <w:rPr>
                <w:rFonts w:ascii="Arial" w:cs="Arial" w:eastAsia="Arial" w:hAnsi="Arial"/>
                <w:sz w:val="14"/>
                <w:szCs w:val="14"/>
                <w:b w:val="1"/>
                <w:bCs w:val="1"/>
                <w:color w:val="auto"/>
              </w:rPr>
              <w:t>Minimum Trailing</w:t>
            </w:r>
          </w:p>
        </w:tc>
        <w:tc>
          <w:tcPr>
            <w:tcW w:w="0" w:type="dxa"/>
            <w:vAlign w:val="bottom"/>
          </w:tcPr>
          <w:p>
            <w:pPr>
              <w:spacing w:after="0"/>
              <w:rPr>
                <w:sz w:val="1"/>
                <w:szCs w:val="1"/>
                <w:color w:val="auto"/>
              </w:rPr>
            </w:pPr>
          </w:p>
        </w:tc>
      </w:tr>
      <w:tr>
        <w:trPr>
          <w:trHeight w:val="144"/>
        </w:trPr>
        <w:tc>
          <w:tcPr>
            <w:tcW w:w="9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6"/>
              <w:spacing w:after="0" w:line="145" w:lineRule="exact"/>
              <w:rPr>
                <w:sz w:val="20"/>
                <w:szCs w:val="20"/>
                <w:color w:val="auto"/>
              </w:rPr>
            </w:pPr>
            <w:r>
              <w:rPr>
                <w:rFonts w:ascii="Arial" w:cs="Arial" w:eastAsia="Arial" w:hAnsi="Arial"/>
                <w:sz w:val="14"/>
                <w:szCs w:val="14"/>
                <w:b w:val="1"/>
                <w:bCs w:val="1"/>
                <w:color w:val="auto"/>
              </w:rPr>
              <w:t>Six-Month Net</w:t>
            </w:r>
          </w:p>
        </w:tc>
        <w:tc>
          <w:tcPr>
            <w:tcW w:w="0" w:type="dxa"/>
            <w:vAlign w:val="bottom"/>
          </w:tcPr>
          <w:p>
            <w:pPr>
              <w:spacing w:after="0"/>
              <w:rPr>
                <w:sz w:val="1"/>
                <w:szCs w:val="1"/>
                <w:color w:val="auto"/>
              </w:rPr>
            </w:pPr>
          </w:p>
        </w:tc>
      </w:tr>
      <w:tr>
        <w:trPr>
          <w:trHeight w:val="139"/>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12"/>
                <w:szCs w:val="12"/>
                <w:color w:val="auto"/>
              </w:rPr>
            </w:pPr>
          </w:p>
        </w:tc>
        <w:tc>
          <w:tcPr>
            <w:tcW w:w="150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rPr>
              <w:t>Revenue Threshold</w:t>
            </w:r>
          </w:p>
        </w:tc>
        <w:tc>
          <w:tcPr>
            <w:tcW w:w="0" w:type="dxa"/>
            <w:vAlign w:val="bottom"/>
          </w:tcPr>
          <w:p>
            <w:pPr>
              <w:spacing w:after="0"/>
              <w:rPr>
                <w:sz w:val="1"/>
                <w:szCs w:val="1"/>
                <w:color w:val="auto"/>
              </w:rPr>
            </w:pPr>
          </w:p>
        </w:tc>
      </w:tr>
      <w:tr>
        <w:trPr>
          <w:trHeight w:val="198"/>
        </w:trPr>
        <w:tc>
          <w:tcPr>
            <w:tcW w:w="9600" w:type="dxa"/>
            <w:vAlign w:val="bottom"/>
            <w:tcBorders>
              <w:bottom w:val="single" w:sz="8" w:color="E5E5E5"/>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Q1 2025</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Q2 2025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Q3 2025</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Q4 2025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Q1 2026</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Q2 2026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Q3 2026</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Q4 2026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9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
        </w:trPr>
        <w:tc>
          <w:tcPr>
            <w:tcW w:w="960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150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the Company is required to maintain a trailing six-month Gross Margin of not less than 30%. The agreement also contains a revenue participation agreement, under which, for any fiscal quarter, 0.01% of net revenue for such fiscal quarter (up to $100.0 million of net revenue for each fiscal year) per each $ 1.0 million principal amount of the notes will be payable to Oberland Capital. Amounts paid under the revenue participation agreement during the three and nine months ended September 30, 2025 and 2024 were interest payments 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debt. The revenue participation payments are additional financing costs of the loan and are included in the computation of the internal rate of return measures described above and do not reduce principal on the debt. As of September 30, 2025, we have made revenue participation payments of $0.5 million.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elected to account for the 2024 Notes using the fair value option and changes in fair value related to the 2024 Notes are recorded in change in fair value of term loan on the Company’s statements of operations and comprehensive income (loss). The Company also elected to present interest incurred on the 2024 Notes in the change in fair value of the term loan; interest expense under the Oberland Capital arrangement was $1.0 million, $ 0.6 million, $3.0 million and $ 0.6 million for the three months ended September 30, 2025 and 2024 and nine months ended September 30, 2025 and 2024, respectively. Total debt outstanding as of September 30, 2025 and December 31, 2024 was $55.0 million and $51.5 million, respectively, and included within long-term debt on the Company’s balance sheets. Future principal payments of the Company’s long-term debt as of September 30, 2025 and December 31, 2024 are $50.0 million, and are due during the year ending December 31, 2031. The term loan advances are secured by a lien on the Company’s assets.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 Warrants</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Company has issued Comerica Bank a warrant to purchase 9,660 Series A-6 redeemable convertible preferred shares at an exercise price of $2.59 per share in connection with a former loan and security agreement entered into in March 2020. The warrants are exercisable until March 15, 2030. The warrants are classified as liabilities on the Company’s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Debt</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2021, the Company entered into a loan and security agreement (the “2021 LSA”) with Western Alliance Bank (“WAB”), which provided the Company with three tranches of capital advances totaling $15.0 million. In July 2022, the Company amended the 2021 LSA, such that WAB made four tranches of capital advances available to the Company for an aggregate amount up to $35.0 million. During August 2024, the Company elected to prepay the outstanding amount of the term loans of $35.0 million in principal and the $1.5 million exit fee that became payable upon early loan payoff. The Company recognized a loss on the extinguishment of debt of $1.3 million in the statements of operations and comprehensive income (loss). The loss on extinguishment consisted of incremental expense of $0.8 million unaccreted exit fee liability, $0.3 million unamortized debt issuance costs and a $0.2 million prepayment fee assessed by the bank.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2021 LSA, the Company issued to Western Alliance Bank (“WAB”) warrants to purchase shares of the Company’s common stock at an exercise price of $2.80 per share. The number of underlying shares of the warrants was initially 53,571 and was increased to 80,357 upon the funding of the loans in January 2022. The warrants will expire if unexercised on October 12, 2031.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spacing w:after="0" w:line="18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2022 LSA Amendment, the Company issued up to 41,209 warrants for common stock at an exercise price of $10.92 per share to WAB. 30,907 warrants were exercisable upon execution of the agreement; the remaining warrants become exercisable as the Company makes additional draws on the 2022 LSA Amendment. As of December 31, 2023 all of the warrants were exercisable. The warrants will expire if unexercised on July 22, 2032. Upon the occurrence of an acquisition of the Company, if the acquiror shall not have assumed the warrants, WAB shall have the right to put the warrants back to the Company for cash equal to the greater of (x) $450,000 or</w:t>
      </w:r>
    </w:p>
    <w:p>
      <w:pPr>
        <w:spacing w:after="0" w:line="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value of the aggregate consideration payable to WAB had WAB exercised the warrants immediately prior to exercise such put right.</w:t>
      </w: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All the warrants issued to WAB are puttable warrants and thus are liability classified. The warrants were initially recognized at fair value with any subsequent changes in fair value to be recorded in other income (expense) in the statements of operations and comprehensive income (loss) (See Note 3).</w:t>
      </w:r>
    </w:p>
    <w:p>
      <w:pPr>
        <w:spacing w:after="0" w:line="1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fair value of the warrants as of their respective issuance dates were recorded as a debt discount that is being amortized to interest expense over the term of the loan.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2025 and December 31, 2024, the Company’s Certificate of Incorporation, as amended, authorized the Company to issue 51,100,000 shares of common stock with a par value of $0.00001. Total common stock outstanding as of September 30, 2025 and December 31, 2024 was 11,178,467 and 10,925,950, respectively. Each share of common stock is entitled to one vote. The holders of common stock are also entitled to receive dividends whenever funds are legally available and when and if declared by the Board of Directors, subject to the prior rights of holders of all series of stock outstanding. No dividends have been declared or paid by the Company since inception.</w:t>
      </w:r>
    </w:p>
    <w:p>
      <w:pPr>
        <w:spacing w:after="0" w:line="18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such a number of shares sufficient to affect the conversion of all outstanding shares of redeemable convertible preferred stocks, preferred stock and common stock warrants, and options granted and available for grant under the Company’s stock option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such shares of the Company’s common stock reserved for these purposes at September 30, 2025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A-1 Redeemable Convertible Preferred Stock</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1,349,650</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Series A-2 Redeemable Convertible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1,137,210</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A-3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899,730</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Series A-4 Redeemable Convertible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25,761</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A-5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114,613</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Series A-6 Redeemable Convertible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5,796,201</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B-1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5,182,287</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Series B-2 Redeemable Convertible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2,566,902</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C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5,628,825</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Series C-1 Redeemable Convertible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1,726,823</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D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4,656,233</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9,660</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Common stock warrants</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121,566</w:t>
            </w:r>
          </w:p>
        </w:tc>
      </w:tr>
      <w:tr>
        <w:trPr>
          <w:trHeight w:val="247"/>
        </w:trPr>
        <w:tc>
          <w:tcPr>
            <w:tcW w:w="97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9,041,854</w:t>
            </w:r>
          </w:p>
        </w:tc>
      </w:tr>
      <w:tr>
        <w:trPr>
          <w:trHeight w:val="23"/>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Stock options available for future grants</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719,328</w:t>
            </w:r>
          </w:p>
        </w:tc>
      </w:tr>
      <w:tr>
        <w:trPr>
          <w:trHeight w:val="240"/>
        </w:trPr>
        <w:tc>
          <w:tcPr>
            <w:tcW w:w="9760" w:type="dxa"/>
            <w:vAlign w:val="bottom"/>
          </w:tcPr>
          <w:p>
            <w:pPr>
              <w:ind w:left="440"/>
              <w:spacing w:after="0"/>
              <w:rPr>
                <w:sz w:val="20"/>
                <w:szCs w:val="20"/>
                <w:color w:val="auto"/>
              </w:rPr>
            </w:pPr>
            <w:r>
              <w:rPr>
                <w:rFonts w:ascii="Arial" w:cs="Arial" w:eastAsia="Arial" w:hAnsi="Arial"/>
                <w:sz w:val="18"/>
                <w:szCs w:val="18"/>
                <w:color w:val="auto"/>
              </w:rPr>
              <w:t>Total common stock reserved</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38,976,643</w:t>
            </w:r>
          </w:p>
        </w:tc>
      </w:tr>
      <w:tr>
        <w:trPr>
          <w:trHeight w:val="23"/>
        </w:trPr>
        <w:tc>
          <w:tcPr>
            <w:tcW w:w="9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Incentive and non-statutory stock options may be granted with exercise prices not less than 100% of the estimated fair value of the common stock on the date of grant, as determined by the Board of Directors.</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Subject to Board approval at the grant date, if an option includes an “early exercise” feature, then such option shall be exercisable at any time but any unvested option shares shall be subject to the Company’s right to repurchase them at the original exercise price in the event that the optionee’s service is terminated for any reason. If an option does not permit early exercise, then such option shall not be exercisable with respect to unvested shares. As of September 30, 2025 and December 31, 2024, the Company had authorized 12,409,025 and 10,904,372 shares of common stock reserved for issuance under the 2018 Plan,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weighted average assumptions used to calculate the fair value of option grants issued under the 2018 Plan during the three and nine months ended September 30, 2025 and 2024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2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5"/>
        </w:trPr>
        <w:tc>
          <w:tcPr>
            <w:tcW w:w="4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64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44"/>
        </w:trPr>
        <w:tc>
          <w:tcPr>
            <w:tcW w:w="46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Fair value of common stock</w:t>
            </w:r>
          </w:p>
        </w:tc>
        <w:tc>
          <w:tcPr>
            <w:tcW w:w="380" w:type="dxa"/>
            <w:vAlign w:val="bottom"/>
            <w:tcBorders>
              <w:bottom w:val="single" w:sz="8" w:color="E5E5E5"/>
            </w:tcBorders>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5E5E5"/>
            </w:tcBorders>
            <w:shd w:val="clear" w:color="auto" w:fill="E5E5E5"/>
          </w:tcPr>
          <w:p>
            <w:pPr>
              <w:jc w:val="right"/>
              <w:ind w:right="157"/>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E5E5E5"/>
            </w:tcBorders>
            <w:shd w:val="clear" w:color="auto" w:fill="E5E5E5"/>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5E5E5"/>
            </w:tcBorders>
            <w:shd w:val="clear" w:color="auto" w:fill="E5E5E5"/>
          </w:tcPr>
          <w:p>
            <w:pPr>
              <w:jc w:val="right"/>
              <w:ind w:right="153"/>
              <w:spacing w:after="0"/>
              <w:rPr>
                <w:sz w:val="20"/>
                <w:szCs w:val="20"/>
                <w:color w:val="auto"/>
              </w:rPr>
            </w:pPr>
            <w:r>
              <w:rPr>
                <w:rFonts w:ascii="Arial" w:cs="Arial" w:eastAsia="Arial" w:hAnsi="Arial"/>
                <w:sz w:val="18"/>
                <w:szCs w:val="18"/>
                <w:color w:val="auto"/>
              </w:rPr>
              <w:t>16.89</w:t>
            </w:r>
          </w:p>
        </w:tc>
        <w:tc>
          <w:tcPr>
            <w:tcW w:w="80" w:type="dxa"/>
            <w:vAlign w:val="bottom"/>
            <w:tcBorders>
              <w:bottom w:val="single" w:sz="8" w:color="E5E5E5"/>
            </w:tcBorders>
            <w:shd w:val="clear" w:color="auto" w:fill="E5E5E5"/>
          </w:tcPr>
          <w:p>
            <w:pPr>
              <w:spacing w:after="0"/>
              <w:rPr>
                <w:sz w:val="21"/>
                <w:szCs w:val="21"/>
                <w:color w:val="auto"/>
              </w:rPr>
            </w:pPr>
          </w:p>
        </w:tc>
        <w:tc>
          <w:tcPr>
            <w:tcW w:w="380" w:type="dxa"/>
            <w:vAlign w:val="bottom"/>
            <w:tcBorders>
              <w:bottom w:val="single" w:sz="8" w:color="E5E5E5"/>
            </w:tcBorders>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5E5E5"/>
            </w:tcBorders>
            <w:shd w:val="clear" w:color="auto" w:fill="E5E5E5"/>
          </w:tcPr>
          <w:p>
            <w:pPr>
              <w:jc w:val="right"/>
              <w:ind w:right="157"/>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E5E5E5"/>
            </w:tcBorders>
            <w:shd w:val="clear" w:color="auto" w:fill="E5E5E5"/>
          </w:tcPr>
          <w:p>
            <w:pPr>
              <w:spacing w:after="0"/>
              <w:rPr>
                <w:sz w:val="21"/>
                <w:szCs w:val="21"/>
                <w:color w:val="auto"/>
              </w:rPr>
            </w:pPr>
          </w:p>
        </w:tc>
        <w:tc>
          <w:tcPr>
            <w:tcW w:w="620" w:type="dxa"/>
            <w:vAlign w:val="bottom"/>
            <w:tcBorders>
              <w:bottom w:val="single" w:sz="8" w:color="E5E5E5"/>
            </w:tcBorders>
            <w:shd w:val="clear" w:color="auto" w:fill="E5E5E5"/>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5E5E5"/>
            </w:tcBorders>
            <w:shd w:val="clear" w:color="auto" w:fill="E5E5E5"/>
          </w:tcPr>
          <w:p>
            <w:pPr>
              <w:jc w:val="right"/>
              <w:ind w:right="153"/>
              <w:spacing w:after="0"/>
              <w:rPr>
                <w:sz w:val="20"/>
                <w:szCs w:val="20"/>
                <w:color w:val="auto"/>
              </w:rPr>
            </w:pPr>
            <w:r>
              <w:rPr>
                <w:rFonts w:ascii="Arial" w:cs="Arial" w:eastAsia="Arial" w:hAnsi="Arial"/>
                <w:sz w:val="18"/>
                <w:szCs w:val="18"/>
                <w:color w:val="auto"/>
              </w:rPr>
              <w:t>15.68</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Borders>
              <w:bottom w:val="single" w:sz="8" w:color="E5E5E5"/>
            </w:tcBorders>
            <w:shd w:val="clear" w:color="auto" w:fill="E5E5E5"/>
          </w:tcPr>
          <w:p>
            <w:pPr>
              <w:spacing w:after="0"/>
              <w:rPr>
                <w:sz w:val="21"/>
                <w:szCs w:val="21"/>
                <w:color w:val="auto"/>
              </w:rPr>
            </w:pP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E5E5E5"/>
            </w:tcBorders>
            <w:shd w:val="clear" w:color="auto" w:fill="E5E5E5"/>
          </w:tcPr>
          <w:p>
            <w:pPr>
              <w:spacing w:after="0"/>
              <w:rPr>
                <w:sz w:val="21"/>
                <w:szCs w:val="21"/>
                <w:color w:val="auto"/>
              </w:rPr>
            </w:pP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4.1 %</w:t>
            </w:r>
          </w:p>
        </w:tc>
        <w:tc>
          <w:tcPr>
            <w:tcW w:w="80" w:type="dxa"/>
            <w:vAlign w:val="bottom"/>
            <w:tcBorders>
              <w:bottom w:val="single" w:sz="8" w:color="E5E5E5"/>
            </w:tcBorders>
            <w:shd w:val="clear" w:color="auto" w:fill="E5E5E5"/>
          </w:tcPr>
          <w:p>
            <w:pPr>
              <w:spacing w:after="0"/>
              <w:rPr>
                <w:sz w:val="21"/>
                <w:szCs w:val="21"/>
                <w:color w:val="auto"/>
              </w:rPr>
            </w:pPr>
          </w:p>
        </w:tc>
        <w:tc>
          <w:tcPr>
            <w:tcW w:w="380" w:type="dxa"/>
            <w:vAlign w:val="bottom"/>
            <w:tcBorders>
              <w:bottom w:val="single" w:sz="8" w:color="E5E5E5"/>
            </w:tcBorders>
            <w:shd w:val="clear" w:color="auto" w:fill="E5E5E5"/>
          </w:tcPr>
          <w:p>
            <w:pPr>
              <w:spacing w:after="0"/>
              <w:rPr>
                <w:sz w:val="21"/>
                <w:szCs w:val="21"/>
                <w:color w:val="auto"/>
              </w:rPr>
            </w:pP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E5E5E5"/>
            </w:tcBorders>
            <w:shd w:val="clear" w:color="auto" w:fill="E5E5E5"/>
          </w:tcPr>
          <w:p>
            <w:pPr>
              <w:spacing w:after="0"/>
              <w:rPr>
                <w:sz w:val="21"/>
                <w:szCs w:val="21"/>
                <w:color w:val="auto"/>
              </w:rPr>
            </w:pPr>
          </w:p>
        </w:tc>
        <w:tc>
          <w:tcPr>
            <w:tcW w:w="620" w:type="dxa"/>
            <w:vAlign w:val="bottom"/>
            <w:tcBorders>
              <w:bottom w:val="single" w:sz="8" w:color="E5E5E5"/>
            </w:tcBorders>
            <w:shd w:val="clear" w:color="auto" w:fill="E5E5E5"/>
          </w:tcPr>
          <w:p>
            <w:pPr>
              <w:spacing w:after="0"/>
              <w:rPr>
                <w:sz w:val="21"/>
                <w:szCs w:val="21"/>
                <w:color w:val="auto"/>
              </w:rPr>
            </w:pPr>
          </w:p>
        </w:tc>
        <w:tc>
          <w:tcPr>
            <w:tcW w:w="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4.2 %</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3"/>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46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Expected term (in years)</w:t>
            </w:r>
          </w:p>
        </w:tc>
        <w:tc>
          <w:tcPr>
            <w:tcW w:w="380" w:type="dxa"/>
            <w:vAlign w:val="bottom"/>
            <w:shd w:val="clear" w:color="auto" w:fill="E5E5E5"/>
          </w:tcPr>
          <w:p>
            <w:pPr>
              <w:spacing w:after="0"/>
              <w:rPr>
                <w:sz w:val="21"/>
                <w:szCs w:val="21"/>
                <w:color w:val="auto"/>
              </w:rPr>
            </w:pPr>
          </w:p>
        </w:tc>
        <w:tc>
          <w:tcPr>
            <w:tcW w:w="12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E5E5E5"/>
          </w:tcPr>
          <w:p>
            <w:pPr>
              <w:spacing w:after="0"/>
              <w:rPr>
                <w:sz w:val="21"/>
                <w:szCs w:val="21"/>
                <w:color w:val="auto"/>
              </w:rPr>
            </w:pPr>
          </w:p>
        </w:tc>
        <w:tc>
          <w:tcPr>
            <w:tcW w:w="520" w:type="dxa"/>
            <w:vAlign w:val="bottom"/>
            <w:shd w:val="clear" w:color="auto" w:fill="E5E5E5"/>
          </w:tcPr>
          <w:p>
            <w:pPr>
              <w:spacing w:after="0"/>
              <w:rPr>
                <w:sz w:val="21"/>
                <w:szCs w:val="21"/>
                <w:color w:val="auto"/>
              </w:rPr>
            </w:pP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6.05</w:t>
            </w:r>
          </w:p>
        </w:tc>
        <w:tc>
          <w:tcPr>
            <w:tcW w:w="8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12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E5E5E5"/>
          </w:tcPr>
          <w:p>
            <w:pPr>
              <w:spacing w:after="0"/>
              <w:rPr>
                <w:sz w:val="21"/>
                <w:szCs w:val="21"/>
                <w:color w:val="auto"/>
              </w:rPr>
            </w:pPr>
          </w:p>
        </w:tc>
        <w:tc>
          <w:tcPr>
            <w:tcW w:w="620" w:type="dxa"/>
            <w:vAlign w:val="bottom"/>
            <w:shd w:val="clear" w:color="auto" w:fill="E5E5E5"/>
          </w:tcPr>
          <w:p>
            <w:pPr>
              <w:spacing w:after="0"/>
              <w:rPr>
                <w:sz w:val="21"/>
                <w:szCs w:val="21"/>
                <w:color w:val="auto"/>
              </w:rPr>
            </w:pPr>
          </w:p>
        </w:tc>
        <w:tc>
          <w:tcPr>
            <w:tcW w:w="9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6.01</w:t>
            </w:r>
          </w:p>
        </w:tc>
      </w:tr>
      <w:tr>
        <w:trPr>
          <w:trHeight w:val="23"/>
        </w:trPr>
        <w:tc>
          <w:tcPr>
            <w:tcW w:w="4640" w:type="dxa"/>
            <w:vAlign w:val="bottom"/>
            <w:shd w:val="clear" w:color="auto" w:fill="E5E5E5"/>
          </w:tcPr>
          <w:p>
            <w:pPr>
              <w:spacing w:after="0"/>
              <w:rPr>
                <w:sz w:val="2"/>
                <w:szCs w:val="2"/>
                <w:color w:val="auto"/>
              </w:rPr>
            </w:pPr>
          </w:p>
        </w:tc>
        <w:tc>
          <w:tcPr>
            <w:tcW w:w="380" w:type="dxa"/>
            <w:vAlign w:val="bottom"/>
            <w:shd w:val="clear" w:color="auto" w:fill="E5E5E5"/>
          </w:tcPr>
          <w:p>
            <w:pPr>
              <w:spacing w:after="0"/>
              <w:rPr>
                <w:sz w:val="2"/>
                <w:szCs w:val="2"/>
                <w:color w:val="auto"/>
              </w:rPr>
            </w:pPr>
          </w:p>
        </w:tc>
        <w:tc>
          <w:tcPr>
            <w:tcW w:w="120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520" w:type="dxa"/>
            <w:vAlign w:val="bottom"/>
            <w:shd w:val="clear" w:color="auto" w:fill="E5E5E5"/>
          </w:tcPr>
          <w:p>
            <w:pPr>
              <w:spacing w:after="0"/>
              <w:rPr>
                <w:sz w:val="2"/>
                <w:szCs w:val="2"/>
                <w:color w:val="auto"/>
              </w:rPr>
            </w:pPr>
          </w:p>
        </w:tc>
        <w:tc>
          <w:tcPr>
            <w:tcW w:w="1060" w:type="dxa"/>
            <w:vAlign w:val="bottom"/>
            <w:shd w:val="clear" w:color="auto" w:fill="E5E5E5"/>
          </w:tcPr>
          <w:p>
            <w:pPr>
              <w:spacing w:after="0"/>
              <w:rPr>
                <w:sz w:val="2"/>
                <w:szCs w:val="2"/>
                <w:color w:val="auto"/>
              </w:rPr>
            </w:pPr>
          </w:p>
        </w:tc>
        <w:tc>
          <w:tcPr>
            <w:tcW w:w="80" w:type="dxa"/>
            <w:vAlign w:val="bottom"/>
            <w:shd w:val="clear" w:color="auto" w:fill="E5E5E5"/>
          </w:tcPr>
          <w:p>
            <w:pPr>
              <w:spacing w:after="0"/>
              <w:rPr>
                <w:sz w:val="2"/>
                <w:szCs w:val="2"/>
                <w:color w:val="auto"/>
              </w:rPr>
            </w:pPr>
          </w:p>
        </w:tc>
        <w:tc>
          <w:tcPr>
            <w:tcW w:w="380" w:type="dxa"/>
            <w:vAlign w:val="bottom"/>
            <w:shd w:val="clear" w:color="auto" w:fill="E5E5E5"/>
          </w:tcPr>
          <w:p>
            <w:pPr>
              <w:spacing w:after="0"/>
              <w:rPr>
                <w:sz w:val="2"/>
                <w:szCs w:val="2"/>
                <w:color w:val="auto"/>
              </w:rPr>
            </w:pPr>
          </w:p>
        </w:tc>
        <w:tc>
          <w:tcPr>
            <w:tcW w:w="120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620" w:type="dxa"/>
            <w:vAlign w:val="bottom"/>
            <w:shd w:val="clear" w:color="auto" w:fill="E5E5E5"/>
          </w:tcPr>
          <w:p>
            <w:pPr>
              <w:spacing w:after="0"/>
              <w:rPr>
                <w:sz w:val="2"/>
                <w:szCs w:val="2"/>
                <w:color w:val="auto"/>
              </w:rPr>
            </w:pPr>
          </w:p>
        </w:tc>
        <w:tc>
          <w:tcPr>
            <w:tcW w:w="960" w:type="dxa"/>
            <w:vAlign w:val="bottom"/>
            <w:shd w:val="clear" w:color="auto" w:fill="E5E5E5"/>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3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56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2"/>
                <w:szCs w:val="12"/>
                <w:color w:val="auto"/>
              </w:rPr>
            </w:pPr>
          </w:p>
        </w:tc>
        <w:tc>
          <w:tcPr>
            <w:tcW w:w="132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E5E5E5"/>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89"/>
        </w:trPr>
        <w:tc>
          <w:tcPr>
            <w:tcW w:w="6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as of December 31, 2024</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6,849,412</w:t>
            </w:r>
          </w:p>
        </w:tc>
        <w:tc>
          <w:tcPr>
            <w:tcW w:w="280" w:type="dxa"/>
            <w:vAlign w:val="bottom"/>
            <w:tcBorders>
              <w:bottom w:val="single" w:sz="8" w:color="E5E5E5"/>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E5E5E5"/>
            </w:tcBorders>
            <w:shd w:val="clear" w:color="auto" w:fill="E5E5E5"/>
          </w:tcPr>
          <w:p>
            <w:pPr>
              <w:spacing w:after="0"/>
              <w:rPr>
                <w:sz w:val="24"/>
                <w:szCs w:val="24"/>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73,992</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bottom w:val="single" w:sz="8" w:color="E5E5E5"/>
            </w:tcBorders>
            <w:vMerge w:val="restart"/>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E5E5E5"/>
              <w:bottom w:val="single" w:sz="8" w:color="auto"/>
            </w:tcBorders>
          </w:tcPr>
          <w:p>
            <w:pPr>
              <w:spacing w:after="0" w:line="20" w:lineRule="exact"/>
              <w:rPr>
                <w:sz w:val="1"/>
                <w:szCs w:val="1"/>
                <w:color w:val="auto"/>
              </w:rPr>
            </w:pPr>
          </w:p>
        </w:tc>
        <w:tc>
          <w:tcPr>
            <w:tcW w:w="280" w:type="dxa"/>
            <w:vAlign w:val="bottom"/>
            <w:tcBorders>
              <w:top w:val="single" w:sz="8" w:color="E5E5E5"/>
              <w:bottom w:val="single" w:sz="8" w:color="E5E5E5"/>
            </w:tcBorders>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E5E5E5"/>
              <w:bottom w:val="single" w:sz="8" w:color="E5E5E5"/>
            </w:tcBorders>
            <w:vMerge w:val="restart"/>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vMerge w:val="continue"/>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2,721,201</w:t>
            </w:r>
          </w:p>
        </w:tc>
        <w:tc>
          <w:tcPr>
            <w:tcW w:w="28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(252,517)</w:t>
            </w:r>
          </w:p>
        </w:tc>
        <w:tc>
          <w:tcPr>
            <w:tcW w:w="280" w:type="dxa"/>
            <w:vAlign w:val="bottom"/>
            <w:tcBorders>
              <w:bottom w:val="single" w:sz="8" w:color="E5E5E5"/>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E5E5E5"/>
            </w:tcBorders>
            <w:shd w:val="clear" w:color="auto" w:fill="E5E5E5"/>
          </w:tcPr>
          <w:p>
            <w:pPr>
              <w:spacing w:after="0"/>
              <w:rPr>
                <w:sz w:val="21"/>
                <w:szCs w:val="21"/>
                <w:color w:val="auto"/>
              </w:rPr>
            </w:pPr>
          </w:p>
        </w:tc>
        <w:tc>
          <w:tcPr>
            <w:tcW w:w="132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60" w:type="dxa"/>
            <w:vAlign w:val="bottom"/>
          </w:tcPr>
          <w:p>
            <w:pPr>
              <w:ind w:left="38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(276,242)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E5E5E5"/>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E5E5E5"/>
            </w:tcBorders>
          </w:tcPr>
          <w:p>
            <w:pPr>
              <w:spacing w:after="0"/>
              <w:rPr>
                <w:sz w:val="2"/>
                <w:szCs w:val="2"/>
                <w:color w:val="auto"/>
              </w:rPr>
            </w:pPr>
          </w:p>
        </w:tc>
        <w:tc>
          <w:tcPr>
            <w:tcW w:w="200" w:type="dxa"/>
            <w:vAlign w:val="bottom"/>
            <w:tcBorders>
              <w:bottom w:val="single" w:sz="8" w:color="E5E5E5"/>
            </w:tcBorders>
          </w:tcPr>
          <w:p>
            <w:pPr>
              <w:spacing w:after="0"/>
              <w:rPr>
                <w:sz w:val="2"/>
                <w:szCs w:val="2"/>
                <w:color w:val="auto"/>
              </w:rPr>
            </w:pPr>
          </w:p>
        </w:tc>
        <w:tc>
          <w:tcPr>
            <w:tcW w:w="1300" w:type="dxa"/>
            <w:vAlign w:val="bottom"/>
            <w:tcBorders>
              <w:bottom w:val="single" w:sz="8" w:color="E5E5E5"/>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80" w:type="dxa"/>
            <w:vAlign w:val="bottom"/>
            <w:tcBorders>
              <w:bottom w:val="single" w:sz="8" w:color="E5E5E5"/>
            </w:tcBorders>
          </w:tcPr>
          <w:p>
            <w:pPr>
              <w:spacing w:after="0"/>
              <w:rPr>
                <w:sz w:val="2"/>
                <w:szCs w:val="2"/>
                <w:color w:val="auto"/>
              </w:rPr>
            </w:pPr>
          </w:p>
        </w:tc>
        <w:tc>
          <w:tcPr>
            <w:tcW w:w="1320" w:type="dxa"/>
            <w:vAlign w:val="bottom"/>
            <w:tcBorders>
              <w:bottom w:val="single" w:sz="8" w:color="E5E5E5"/>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as of September 30, 2025</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9,041,854</w:t>
            </w:r>
          </w:p>
        </w:tc>
        <w:tc>
          <w:tcPr>
            <w:tcW w:w="280" w:type="dxa"/>
            <w:vAlign w:val="bottom"/>
            <w:tcBorders>
              <w:bottom w:val="single" w:sz="8" w:color="E5E5E5"/>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E5E5E5"/>
            </w:tcBorders>
            <w:shd w:val="clear" w:color="auto" w:fill="E5E5E5"/>
          </w:tcPr>
          <w:p>
            <w:pPr>
              <w:spacing w:after="0"/>
              <w:rPr>
                <w:sz w:val="24"/>
                <w:szCs w:val="24"/>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268,925</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Vested and exercisable as of September 30, 2025</w:t>
            </w:r>
          </w:p>
        </w:tc>
        <w:tc>
          <w:tcPr>
            <w:tcW w:w="15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1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4,876,287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171,507</w:t>
            </w:r>
          </w:p>
        </w:tc>
        <w:tc>
          <w:tcPr>
            <w:tcW w:w="0" w:type="dxa"/>
            <w:vAlign w:val="bottom"/>
          </w:tcPr>
          <w:p>
            <w:pPr>
              <w:spacing w:after="0"/>
              <w:rPr>
                <w:sz w:val="1"/>
                <w:szCs w:val="1"/>
                <w:color w:val="auto"/>
              </w:rPr>
            </w:pPr>
          </w:p>
        </w:tc>
      </w:tr>
      <w:tr>
        <w:trPr>
          <w:trHeight w:val="20"/>
        </w:trPr>
        <w:tc>
          <w:tcPr>
            <w:tcW w:w="6560" w:type="dxa"/>
            <w:vAlign w:val="bottom"/>
            <w:tcBorders>
              <w:bottom w:val="single" w:sz="8" w:color="E5E5E5"/>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13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132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Vested and expected to vest as of September 30, 2025</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9,041,854</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E5E5E5"/>
          </w:tcPr>
          <w:p>
            <w:pPr>
              <w:spacing w:after="0"/>
              <w:rPr>
                <w:sz w:val="20"/>
                <w:szCs w:val="20"/>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268,925</w:t>
            </w:r>
          </w:p>
        </w:tc>
        <w:tc>
          <w:tcPr>
            <w:tcW w:w="0" w:type="dxa"/>
            <w:vAlign w:val="bottom"/>
          </w:tcPr>
          <w:p>
            <w:pPr>
              <w:spacing w:after="0"/>
              <w:rPr>
                <w:sz w:val="1"/>
                <w:szCs w:val="1"/>
                <w:color w:val="auto"/>
              </w:rPr>
            </w:pPr>
          </w:p>
        </w:tc>
      </w:tr>
      <w:tr>
        <w:trPr>
          <w:trHeight w:val="23"/>
        </w:trPr>
        <w:tc>
          <w:tcPr>
            <w:tcW w:w="6560" w:type="dxa"/>
            <w:vAlign w:val="bottom"/>
            <w:shd w:val="clear" w:color="auto" w:fill="E5E5E5"/>
          </w:tcPr>
          <w:p>
            <w:pPr>
              <w:spacing w:after="0"/>
              <w:rPr>
                <w:sz w:val="2"/>
                <w:szCs w:val="2"/>
                <w:color w:val="auto"/>
              </w:rPr>
            </w:pPr>
          </w:p>
        </w:tc>
        <w:tc>
          <w:tcPr>
            <w:tcW w:w="1500" w:type="dxa"/>
            <w:vAlign w:val="bottom"/>
            <w:shd w:val="clear" w:color="auto" w:fill="E5E5E5"/>
          </w:tcPr>
          <w:p>
            <w:pPr>
              <w:spacing w:after="0"/>
              <w:rPr>
                <w:sz w:val="2"/>
                <w:szCs w:val="2"/>
                <w:color w:val="auto"/>
              </w:rPr>
            </w:pPr>
          </w:p>
        </w:tc>
        <w:tc>
          <w:tcPr>
            <w:tcW w:w="80" w:type="dxa"/>
            <w:vAlign w:val="bottom"/>
            <w:shd w:val="clear" w:color="auto" w:fill="E5E5E5"/>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130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180" w:type="dxa"/>
            <w:vAlign w:val="bottom"/>
            <w:shd w:val="clear" w:color="auto" w:fill="E5E5E5"/>
          </w:tcPr>
          <w:p>
            <w:pPr>
              <w:spacing w:after="0"/>
              <w:rPr>
                <w:sz w:val="2"/>
                <w:szCs w:val="2"/>
                <w:color w:val="auto"/>
              </w:rPr>
            </w:pPr>
          </w:p>
        </w:tc>
        <w:tc>
          <w:tcPr>
            <w:tcW w:w="132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2025, there was approximately $ 60.7 million of total unrecognized compensation cost related to unvested options, which is expected to be recognized over the weighted average period of 3.8 years. Also, in June 2025, the Board of Directors granted stock options of 1,003,102 shares to the Company’s Chief Executive Officer and Co-Founder and 501,551 shares to the Chief Technology Officer and Co-Founder at an exercise price of $20.04 per share. The vesting commencement date of the stock option is June 11, 2025 and the stock options vests monthly over six years.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table below shows stock-based compensation expense included in the statements of operations and comprehensive income (loss) for the three months ended and nine months ended September 30, 2025 and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0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5"/>
        </w:trPr>
        <w:tc>
          <w:tcPr>
            <w:tcW w:w="50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45"/>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E5E5E5"/>
            </w:tcBorders>
            <w:shd w:val="clear" w:color="auto" w:fill="E5E5E5"/>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E5E5E5"/>
            </w:tcBorders>
            <w:shd w:val="clear" w:color="auto" w:fill="E5E5E5"/>
          </w:tcPr>
          <w:p>
            <w:pPr>
              <w:spacing w:after="0"/>
              <w:rPr>
                <w:sz w:val="21"/>
                <w:szCs w:val="21"/>
                <w:color w:val="auto"/>
              </w:rPr>
            </w:pPr>
          </w:p>
        </w:tc>
        <w:tc>
          <w:tcPr>
            <w:tcW w:w="920" w:type="dxa"/>
            <w:vAlign w:val="bottom"/>
            <w:tcBorders>
              <w:bottom w:val="single" w:sz="8" w:color="E5E5E5"/>
            </w:tcBorders>
            <w:shd w:val="clear" w:color="auto" w:fill="E5E5E5"/>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E5E5E5"/>
            </w:tcBorders>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848</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3"/>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E5E5E5"/>
            </w:tcBorders>
            <w:shd w:val="clear" w:color="auto" w:fill="E5E5E5"/>
          </w:tcPr>
          <w:p>
            <w:pPr>
              <w:spacing w:after="0"/>
              <w:rPr>
                <w:sz w:val="23"/>
                <w:szCs w:val="23"/>
                <w:color w:val="auto"/>
              </w:rPr>
            </w:pPr>
          </w:p>
        </w:tc>
        <w:tc>
          <w:tcPr>
            <w:tcW w:w="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E5E5E5"/>
            </w:tcBorders>
            <w:shd w:val="clear" w:color="auto" w:fill="E5E5E5"/>
          </w:tcPr>
          <w:p>
            <w:pPr>
              <w:spacing w:after="0"/>
              <w:rPr>
                <w:sz w:val="23"/>
                <w:szCs w:val="23"/>
                <w:color w:val="auto"/>
              </w:rPr>
            </w:pPr>
          </w:p>
        </w:tc>
        <w:tc>
          <w:tcPr>
            <w:tcW w:w="920" w:type="dxa"/>
            <w:vAlign w:val="bottom"/>
            <w:tcBorders>
              <w:bottom w:val="single" w:sz="8" w:color="E5E5E5"/>
            </w:tcBorders>
            <w:shd w:val="clear" w:color="auto" w:fill="E5E5E5"/>
          </w:tcPr>
          <w:p>
            <w:pPr>
              <w:spacing w:after="0"/>
              <w:rPr>
                <w:sz w:val="23"/>
                <w:szCs w:val="23"/>
                <w:color w:val="auto"/>
              </w:rPr>
            </w:pPr>
          </w:p>
        </w:tc>
        <w:tc>
          <w:tcPr>
            <w:tcW w:w="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E5E5E5"/>
            </w:tcBorders>
            <w:shd w:val="clear" w:color="auto" w:fill="E5E5E5"/>
          </w:tcPr>
          <w:p>
            <w:pPr>
              <w:spacing w:after="0"/>
              <w:rPr>
                <w:sz w:val="23"/>
                <w:szCs w:val="23"/>
                <w:color w:val="auto"/>
              </w:rPr>
            </w:pPr>
          </w:p>
        </w:tc>
        <w:tc>
          <w:tcPr>
            <w:tcW w:w="340" w:type="dxa"/>
            <w:vAlign w:val="bottom"/>
            <w:tcBorders>
              <w:bottom w:val="single" w:sz="8" w:color="E5E5E5"/>
            </w:tcBorders>
            <w:shd w:val="clear" w:color="auto" w:fill="E5E5E5"/>
          </w:tcPr>
          <w:p>
            <w:pPr>
              <w:spacing w:after="0"/>
              <w:rPr>
                <w:sz w:val="23"/>
                <w:szCs w:val="23"/>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E5E5E5"/>
            </w:tcBorders>
            <w:shd w:val="clear" w:color="auto" w:fill="E5E5E5"/>
          </w:tcPr>
          <w:p>
            <w:pPr>
              <w:spacing w:after="0"/>
              <w:rPr>
                <w:sz w:val="23"/>
                <w:szCs w:val="23"/>
                <w:color w:val="auto"/>
              </w:rPr>
            </w:pPr>
          </w:p>
        </w:tc>
        <w:tc>
          <w:tcPr>
            <w:tcW w:w="500" w:type="dxa"/>
            <w:vAlign w:val="bottom"/>
            <w:tcBorders>
              <w:bottom w:val="single" w:sz="8" w:color="E5E5E5"/>
            </w:tcBorders>
            <w:shd w:val="clear" w:color="auto" w:fill="E5E5E5"/>
          </w:tcPr>
          <w:p>
            <w:pPr>
              <w:spacing w:after="0"/>
              <w:rPr>
                <w:sz w:val="23"/>
                <w:szCs w:val="23"/>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3,488</w:t>
            </w:r>
          </w:p>
        </w:tc>
      </w:tr>
      <w:tr>
        <w:trPr>
          <w:trHeight w:val="241"/>
        </w:trPr>
        <w:tc>
          <w:tcPr>
            <w:tcW w:w="5020" w:type="dxa"/>
            <w:vAlign w:val="bottom"/>
          </w:tcPr>
          <w:p>
            <w:pPr>
              <w:ind w:left="36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w:t>
            </w:r>
          </w:p>
        </w:tc>
      </w:tr>
      <w:tr>
        <w:trPr>
          <w:trHeight w:val="23"/>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of Common Stock</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June 2024, investors of the Company acquired 52,750 shares of common stock at a price per share equal to $22.42 per share from employee stockholders. During July 2024, investors of the Company acquired an additional 22,302 shares of common stock at a price per share equal to $22.42 per share from a stockholder who was a former employee of the Company. As a result, the Company recorded a total of $0.1 million and $0.4 million for the three months ended and nine months ended September 30, 2024, respectively, in stock-based compensation expense for the difference between the price paid by these investors and the estimated fair value of the acquired common stock from stockholders on the date of the transactions. No secondary sales occurred during the three and nine months ended September 30, 2025.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2024, the Company’s Board of Directors agreed to repurchase a total of 26,750 shares of common stock that were held by a former employee of the Company. The repurchase price paid by the Company was $20.3950 per share, resulting in a total repurchase cost of $0.5 million. As the repurchase price paid by the Company to the former employee represented an excess over the common stock’s estimated fair market value at the time, the Company accounted for this premium as stock-based compensation expense of $0.2 million during the nine months ended September 30,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an effective tax rate of (2.31)%, 0.15%, (1.03)% and (0.05)% for the three and nine months ended September 30, 2025 and 2024, respectively. The Company has historically incurred U.S. operating losses prior to the nine months ended September 30, 2025 and has minimal profits in its foreign jurisdictions.</w:t>
      </w:r>
    </w:p>
    <w:p>
      <w:pPr>
        <w:spacing w:after="0" w:line="171"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The Company updates its estimate of the annual effective tax rate each quarter and makes a cumulative adjustment in such period. The Company recorded immaterial amounts for the three and nine months ended September 30, 2025 and 2024, respectively. Income tax expense (benefit) consists primarily of income taxes for U.S. federal and the states in which the Company conducts business. Due to the Company’s history of losses in the United States, a full valuation allowance on substantially all of the Company’s deferred tax assets, including net operating loss carryforwards, research and development tax credits, and other book versus tax differences, was maintained.</w:t>
      </w:r>
    </w:p>
    <w:p>
      <w:pPr>
        <w:spacing w:after="0" w:line="177"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w:t>
      </w:r>
    </w:p>
    <w:p>
      <w:pPr>
        <w:ind w:right="140"/>
        <w:spacing w:after="0"/>
        <w:rPr>
          <w:sz w:val="20"/>
          <w:szCs w:val="20"/>
          <w:color w:val="auto"/>
        </w:rPr>
      </w:pPr>
      <w:r>
        <w:rPr>
          <w:rFonts w:ascii="Arial" w:cs="Arial" w:eastAsia="Arial" w:hAnsi="Arial"/>
          <w:sz w:val="17"/>
          <w:szCs w:val="17"/>
          <w:color w:val="auto"/>
        </w:rPr>
        <w:t>restoration of favorable tax treatment for certain business provisions. The legislation has multiple effective dates, with certain provisions effective in 2025 and others implemented through 2027. The enactment of the OBBBA did not result in a material impact to our provision for</w:t>
      </w:r>
    </w:p>
    <w:p>
      <w:pPr>
        <w:spacing w:after="0" w:line="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income taxes for the three months ended September 30, 2025 given we maintain a full valuation allowance on our federal deferred tax assets. We are currently assessing the long term impact the OBBBA may have on our financial condition, results of operations, cash flows, and effective tax rate.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three and nine months ended September 30, 2025 and 2024, the Company contributed $0.9 million, $0.6 million, $2.6 million and $1.7 million to this plan,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February 2024, the Company repurchased 26,750 shares of common stock that were held by the former CFO. Please refer to Note 9 for additional information on this transaction. There were no other material related party transactions during the three months ended and nine months ended September 30, 2025 and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 Attributable to Shareholders</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the three months ended and nine months ended September 30, 2024, basic net income (loss) per share is the same as diluted net income (loss) per share as the inclusion of any potential common shares outstanding would have been anti-dilutive. For the three months ended and nine months ended September 30, 2025, diluted net income (loss) per share is computed by applying the two-class method and then by dividing net income attributable to common stockholders by the weighted-average number of diluted common shares outstanding. The dilutive effect of potentially dilutive common shares is reflected in diluted earnings per share by application of the if-converted method for the Company’s outstanding preferred stock, the treasury stock method for the Company’s other potentially dilutive securities, and is ultimately applied by sequencing instruments beginning with those that are more dilutive.</w:t>
      </w:r>
    </w:p>
    <w:p>
      <w:pPr>
        <w:spacing w:after="0" w:line="2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sets forth the computation of basic and dilutive net income (loss) per share attributable to common stockholders for the three and nine months ended September 30, 2025 and 2024 (in thousands, except per share amounts):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7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5"/>
        </w:trPr>
        <w:tc>
          <w:tcPr>
            <w:tcW w:w="50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51"/>
        </w:trPr>
        <w:tc>
          <w:tcPr>
            <w:tcW w:w="5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Basic net income (loss) per share:</w:t>
            </w:r>
          </w:p>
        </w:tc>
        <w:tc>
          <w:tcPr>
            <w:tcW w:w="30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5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DBDBDB"/>
          </w:tcPr>
          <w:p>
            <w:pPr>
              <w:spacing w:after="0"/>
              <w:rPr>
                <w:sz w:val="23"/>
                <w:szCs w:val="23"/>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shd w:val="clear" w:color="auto" w:fill="DBDBDB"/>
          </w:tcPr>
          <w:p>
            <w:pPr>
              <w:spacing w:after="0"/>
              <w:rPr>
                <w:sz w:val="23"/>
                <w:szCs w:val="23"/>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DBDBDB"/>
          </w:tcPr>
          <w:p>
            <w:pPr>
              <w:spacing w:after="0"/>
              <w:rPr>
                <w:sz w:val="23"/>
                <w:szCs w:val="23"/>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47"/>
        </w:trPr>
        <w:tc>
          <w:tcPr>
            <w:tcW w:w="5020" w:type="dxa"/>
            <w:vAlign w:val="bottom"/>
          </w:tcPr>
          <w:p>
            <w:pPr>
              <w:ind w:left="360"/>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02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spacing w:after="0"/>
              <w:rPr>
                <w:sz w:val="22"/>
                <w:szCs w:val="2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spacing w:after="0"/>
              <w:rPr>
                <w:sz w:val="22"/>
                <w:szCs w:val="2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24"/>
        </w:trPr>
        <w:tc>
          <w:tcPr>
            <w:tcW w:w="5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Weighted-average shares used in calculating net income</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62"/>
        </w:trPr>
        <w:tc>
          <w:tcPr>
            <w:tcW w:w="5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(loss) per share, basic</w:t>
            </w:r>
          </w:p>
        </w:tc>
        <w:tc>
          <w:tcPr>
            <w:tcW w:w="3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10,429,583</w:t>
            </w:r>
          </w:p>
        </w:tc>
        <w:tc>
          <w:tcPr>
            <w:tcW w:w="100" w:type="dxa"/>
            <w:vAlign w:val="bottom"/>
            <w:shd w:val="clear" w:color="auto" w:fill="DBDBDB"/>
          </w:tcPr>
          <w:p>
            <w:pPr>
              <w:spacing w:after="0"/>
              <w:rPr>
                <w:sz w:val="22"/>
                <w:szCs w:val="22"/>
                <w:color w:val="auto"/>
              </w:rPr>
            </w:pPr>
          </w:p>
        </w:tc>
        <w:tc>
          <w:tcPr>
            <w:tcW w:w="4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10,107,487</w:t>
            </w:r>
          </w:p>
        </w:tc>
        <w:tc>
          <w:tcPr>
            <w:tcW w:w="100" w:type="dxa"/>
            <w:vAlign w:val="bottom"/>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10,376,253</w:t>
            </w:r>
          </w:p>
        </w:tc>
        <w:tc>
          <w:tcPr>
            <w:tcW w:w="100" w:type="dxa"/>
            <w:vAlign w:val="bottom"/>
            <w:shd w:val="clear" w:color="auto" w:fill="DBDBDB"/>
          </w:tcPr>
          <w:p>
            <w:pPr>
              <w:spacing w:after="0"/>
              <w:rPr>
                <w:sz w:val="22"/>
                <w:szCs w:val="22"/>
                <w:color w:val="auto"/>
              </w:rPr>
            </w:pPr>
          </w:p>
        </w:tc>
        <w:tc>
          <w:tcPr>
            <w:tcW w:w="4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10,049,097</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 per share, 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502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net income (loss) per share:</w:t>
            </w:r>
          </w:p>
        </w:tc>
        <w:tc>
          <w:tcPr>
            <w:tcW w:w="30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8"/>
        </w:trPr>
        <w:tc>
          <w:tcPr>
            <w:tcW w:w="50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2"/>
        </w:trPr>
        <w:tc>
          <w:tcPr>
            <w:tcW w:w="5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Weighted-average shares used in calculating net income</w:t>
            </w:r>
          </w:p>
        </w:tc>
        <w:tc>
          <w:tcPr>
            <w:tcW w:w="30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42"/>
        </w:trPr>
        <w:tc>
          <w:tcPr>
            <w:tcW w:w="50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(loss) per share, basic</w:t>
            </w: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10,429,583</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10,107,487</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10,376,253</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10,049,097</w:t>
            </w:r>
          </w:p>
        </w:tc>
      </w:tr>
      <w:tr>
        <w:trPr>
          <w:trHeight w:val="247"/>
        </w:trPr>
        <w:tc>
          <w:tcPr>
            <w:tcW w:w="502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2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8"/>
                <w:szCs w:val="18"/>
                <w:color w:val="auto"/>
              </w:rPr>
              <w:t>Outstanding stock options</w:t>
            </w: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4,336,722</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020" w:type="dxa"/>
            <w:vAlign w:val="bottom"/>
          </w:tcPr>
          <w:p>
            <w:pPr>
              <w:ind w:left="500"/>
              <w:spacing w:after="0"/>
              <w:rPr>
                <w:sz w:val="20"/>
                <w:szCs w:val="20"/>
                <w:color w:val="auto"/>
              </w:rPr>
            </w:pPr>
            <w:r>
              <w:rPr>
                <w:rFonts w:ascii="Arial" w:cs="Arial" w:eastAsia="Arial" w:hAnsi="Arial"/>
                <w:sz w:val="18"/>
                <w:szCs w:val="18"/>
                <w:color w:val="auto"/>
              </w:rPr>
              <w:t>Warrants to purchase redeemable convertible preferred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5020" w:type="dxa"/>
            <w:vAlign w:val="bottom"/>
          </w:tcPr>
          <w:p>
            <w:pPr>
              <w:ind w:left="36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2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8"/>
                <w:szCs w:val="18"/>
                <w:color w:val="auto"/>
              </w:rPr>
              <w:t>Warrants to purchase common stock</w:t>
            </w: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93,366</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020" w:type="dxa"/>
            <w:vAlign w:val="bottom"/>
          </w:tcPr>
          <w:p>
            <w:pPr>
              <w:ind w:left="500"/>
              <w:spacing w:after="0"/>
              <w:rPr>
                <w:sz w:val="20"/>
                <w:szCs w:val="20"/>
                <w:color w:val="auto"/>
              </w:rPr>
            </w:pPr>
            <w:r>
              <w:rPr>
                <w:rFonts w:ascii="Arial" w:cs="Arial" w:eastAsia="Arial" w:hAnsi="Arial"/>
                <w:sz w:val="18"/>
                <w:szCs w:val="18"/>
                <w:color w:val="auto"/>
              </w:rPr>
              <w:t>Restricted stock awards in exchange for non-recourse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5020" w:type="dxa"/>
            <w:vAlign w:val="bottom"/>
          </w:tcPr>
          <w:p>
            <w:pPr>
              <w:ind w:left="360"/>
              <w:spacing w:after="0"/>
              <w:rPr>
                <w:sz w:val="20"/>
                <w:szCs w:val="20"/>
                <w:color w:val="auto"/>
              </w:rPr>
            </w:pPr>
            <w:r>
              <w:rPr>
                <w:rFonts w:ascii="Arial" w:cs="Arial" w:eastAsia="Arial" w:hAnsi="Arial"/>
                <w:sz w:val="18"/>
                <w:szCs w:val="18"/>
                <w:color w:val="auto"/>
              </w:rPr>
              <w:t>note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698,552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698,245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02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5020" w:type="dxa"/>
            <w:vAlign w:val="bottom"/>
            <w:shd w:val="clear" w:color="auto" w:fill="DBDBDB"/>
          </w:tcPr>
          <w:p>
            <w:pPr>
              <w:ind w:left="360"/>
              <w:spacing w:after="0" w:line="204" w:lineRule="exact"/>
              <w:rPr>
                <w:sz w:val="20"/>
                <w:szCs w:val="20"/>
                <w:color w:val="auto"/>
              </w:rPr>
            </w:pPr>
            <w:r>
              <w:rPr>
                <w:rFonts w:ascii="Arial" w:cs="Arial" w:eastAsia="Arial" w:hAnsi="Arial"/>
                <w:sz w:val="18"/>
                <w:szCs w:val="18"/>
                <w:color w:val="auto"/>
              </w:rPr>
              <w:t>Weighted-average shares used in calculating net income</w:t>
            </w:r>
          </w:p>
        </w:tc>
        <w:tc>
          <w:tcPr>
            <w:tcW w:w="3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262"/>
        </w:trPr>
        <w:tc>
          <w:tcPr>
            <w:tcW w:w="50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(loss) per share, diluted</w:t>
            </w:r>
          </w:p>
        </w:tc>
        <w:tc>
          <w:tcPr>
            <w:tcW w:w="30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15,571,949</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spacing w:after="0"/>
              <w:rPr>
                <w:sz w:val="22"/>
                <w:szCs w:val="2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10,107,487</w:t>
            </w:r>
          </w:p>
        </w:tc>
        <w:tc>
          <w:tcPr>
            <w:tcW w:w="10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15,117,365</w:t>
            </w:r>
          </w:p>
        </w:tc>
        <w:tc>
          <w:tcPr>
            <w:tcW w:w="10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spacing w:after="0"/>
              <w:rPr>
                <w:sz w:val="22"/>
                <w:szCs w:val="2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10,049,097</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for the three and nine months ended September 30, 2025 and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02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5"/>
        </w:trPr>
        <w:tc>
          <w:tcPr>
            <w:tcW w:w="5020" w:type="dxa"/>
            <w:vAlign w:val="bottom"/>
            <w:tcBorders>
              <w:bottom w:val="single" w:sz="8" w:color="E5E5E5"/>
            </w:tcBorders>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6"/>
                <w:szCs w:val="16"/>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45"/>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tcBorders>
              <w:bottom w:val="single" w:sz="8" w:color="E5E5E5"/>
            </w:tcBorders>
            <w:shd w:val="clear" w:color="auto" w:fill="E5E5E5"/>
          </w:tcPr>
          <w:p>
            <w:pPr>
              <w:spacing w:after="0"/>
              <w:rPr>
                <w:sz w:val="21"/>
                <w:szCs w:val="21"/>
                <w:color w:val="auto"/>
              </w:rPr>
            </w:pP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29,084,235</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6,565,802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6,565,802</w:t>
            </w: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Restricted stock awards in exchange for non-recourse note</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E5E5E5"/>
            </w:tcBorders>
            <w:shd w:val="clear" w:color="auto" w:fill="E5E5E5"/>
          </w:tcPr>
          <w:p>
            <w:pPr>
              <w:spacing w:after="0"/>
              <w:rPr>
                <w:sz w:val="21"/>
                <w:szCs w:val="21"/>
                <w:color w:val="auto"/>
              </w:rPr>
            </w:pP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700,000</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Warrants to purchase common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121,566</w:t>
            </w: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Borders>
              <w:bottom w:val="single" w:sz="8" w:color="E5E5E5"/>
            </w:tcBorders>
            <w:shd w:val="clear" w:color="auto" w:fill="E5E5E5"/>
          </w:tcPr>
          <w:p>
            <w:pPr>
              <w:spacing w:after="0"/>
              <w:rPr>
                <w:sz w:val="21"/>
                <w:szCs w:val="21"/>
                <w:color w:val="auto"/>
              </w:rPr>
            </w:pP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E5E5E5"/>
            </w:tcBorders>
            <w:shd w:val="clear" w:color="auto" w:fill="E5E5E5"/>
          </w:tcPr>
          <w:p>
            <w:pPr>
              <w:spacing w:after="0"/>
              <w:rPr>
                <w:sz w:val="21"/>
                <w:szCs w:val="21"/>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9,660</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Unvested early-exercised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918"/>
        </w:trPr>
        <w:tc>
          <w:tcPr>
            <w:tcW w:w="5020" w:type="dxa"/>
            <w:vAlign w:val="bottom"/>
          </w:tcPr>
          <w:p>
            <w:pPr>
              <w:spacing w:after="0"/>
              <w:rPr>
                <w:sz w:val="24"/>
                <w:szCs w:val="24"/>
                <w:color w:val="auto"/>
              </w:rPr>
            </w:pPr>
          </w:p>
        </w:tc>
        <w:tc>
          <w:tcPr>
            <w:tcW w:w="1480" w:type="dxa"/>
            <w:vAlign w:val="bottom"/>
          </w:tcPr>
          <w:p>
            <w:pPr>
              <w:jc w:val="right"/>
              <w:ind w:right="69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5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November 7, 2025, the Company closed its initial public offering (the “IPO”) of 5,233,765 shares of its Class A common stock, which includes the exercise in full by the underwriters of their option to purchase from the Company 682,665 shares of the Company’s Class A common stock, at a price to the public of $60.00 per share. The gross proceeds to the Company from the IPO were $314.0 million and the net proceeds amounted to $ 286.4 million, after deducting underwriting discounts and commissions and offering expenses payable by the Company. Immediately prior to the closing of the IPO, each outstanding share of the Company’s Series A-1, Series A-2, Series A-3, Series A-4, Series A-5, Series A-6, Series B-1, Series B-2, Series C, Series C-1 and Series D redeemable convertible preferred stock converted, on a one-for-one basis, into 29,084,235 shares of the Company’s Class A common stock (the conversion, the “Reclassification”). Following the Reclassification, and immediately prior to the closing of the IPO, 2,325,108 shares of Class A common stock held by Oguzhan Atay, our Chief Executive Officer and Co-Founder, and 2,227,542 shares of Class A common stock held by David Tsao, our Chief Technology Officer and Co-Founder, were exchanged at a 1:1 ratio for shares of Class B common stock.</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IPO, the Company’s Board of Directors adopted, and its stockholders approved, the 2025 Equity Incentive Plan (the “2025 Plan”), which became effective on November 5, 2025. The 2018 Plan was terminated upon the completion of the IPO, however awards outstanding under the 2018 Plan will remain outstanding and will continue to be governed by their existing terms. The number of shares of Class A common stock available for issuance under the 2025 Plan is 3,297,972 shares of Class A common stock, plus up to 10,034,626 shares remaining available for issuance under the 2018 Plan, subject to annual adjustment on the first day of each fiscal year through January 1, 2035. The 2025 Plan allows for the issuance of a variety of stock-based compensation awards at the discretion of the Board of Directors, including stock options, stock appreciation rights, restricted stock awards, restricted stock unit (“RSU”) awards, and other stock-based awards.</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further connection with the IPO, the Company’s Board of Directors adopted, and its stockholders approved, the 2025 Employee Stock Purchase Plan (the “2025 ESPP”), which became effective on November 5, 2025. The number of shares of Class A common stock available for issuance under the 2025 ESPP is 548,880 shares of Class A common stock, subject to annual adjustment on the first day of each fiscal year through January 1, 2035. No more than 8,400,000 shares of Class A common stock may be issued under the 2025 ESPP. Each participant may purchase up to the number of shares determined by the Board of Directors on any purchase date, not to exceed 7,500 shares. The price of each share of Class A common stock purchased under the 2025 ESPP will not be less than 85% of the lower of the fair market value per share of Class A common stock on the first day of the applicable offering period or the fair market value per share of Class A common stock on the purchase 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80"/>
        <w:spacing w:after="0" w:line="298"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financial statements and the related notes included in Item 1 of this Quarterly Report. This discussion and analysis as well as other parts of this Quarterly Report contain forward-looking statements that involve risks and uncertainties, including information with respect to our plans and strategy for our business. You should carefully read the sections titled “Special note regarding forward-looking statements” and “Risk Factors” to gain an understanding of the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Unless context requires otherwise, references to “we,” “us,” “our,” “BillionToOne,” or “the Company” here refer to BillionToOne, Inc.</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BillionToOne is transforming healthcare by redefining molecular diagnostics. Our revolutionary single-molecule next-generation sequencing (smNGS) platform achieves what was once thought impossible—detecting and precisely quantifying genetic targets with single-molecule sensitivity. At the heart of this technological breakthrough lies our patented quantitative counting templates (QCTs), enabling measurements at the physical limit of detection—the single DNA molecule. This leap forward addresses a fundamental limitation in healthcare—the inability to detect sparse but clinically crucial disease signals in cell-free DNA (cfDNA).</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Founded with the mission to remove the fear of the unknown through powerful and accessible smNGS-based diagnostics, we have swiftly transitioned from an R&amp;D-focused company to a proven commercial organization. Since launching UNITY, our first prenatal product in 2019, we have expanded our offerings first within prenatal genetics, and then to oncology diagnostics. To date, we have processed more than one million smNGS-based tests. Today, we test approximately 1 in 11 babies during pregnancy in the United States, a metric that is continuing to increase rapidly every year. UNITY is the first single-gene non-invasive prenatal test (sgNIPT) that uses cfDNA to provide fetal risk assessment for recessive conditions such as sickle cell disease (SCD) and cystic fibrosis (CF) without requiring a paternal sample or invasive procedures such as amniocentesis. Since then, we have expanded our UNITY offering to cover comprehensive prenatal genetic needs from a single maternal blood draw. In 2024, our unique fetal antigen tests resulted in national medical guideline changes, enabling us to position our tests as “the new standard in prenatal care,” further contributing to both test volume and average selling price (ASP) growth, as we leveraged the guideline changes to contract with more insurance companies. By detecting and identifying an extensive array of severe but actionable genetic disorders during pregnancy, we enable substantially better outcomes for newborns via earlier therapeutic and other clinical interventions.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Northstar Response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Our Northstar Select test is used to guide therapy selection and has been shown to detect over 50% more actionable solid tumor mutations than conventional liquid biopsies. </w:t>
      </w:r>
      <w:r>
        <w:rPr>
          <w:rFonts w:ascii="Arial" w:cs="Arial" w:eastAsia="Arial" w:hAnsi="Arial"/>
          <w:sz w:val="8"/>
          <w:szCs w:val="8"/>
          <w:color w:val="auto"/>
        </w:rPr>
        <w:t xml:space="preserve">1,2 </w:t>
      </w:r>
      <w:r>
        <w:rPr>
          <w:rFonts w:ascii="Arial" w:cs="Arial" w:eastAsia="Arial" w:hAnsi="Arial"/>
          <w:sz w:val="17"/>
          <w:szCs w:val="17"/>
          <w:color w:val="auto"/>
        </w:rPr>
        <w:t>Based on our knowledge of all widely available tests, Northstar Response is the only methylation-based assay that quantifies the amount</w:t>
      </w:r>
      <w:r>
        <w:rPr>
          <w:rFonts w:ascii="Arial" w:cs="Arial" w:eastAsia="Arial" w:hAnsi="Arial"/>
          <w:sz w:val="8"/>
          <w:szCs w:val="8"/>
          <w:color w:val="auto"/>
        </w:rPr>
        <w:t xml:space="preserve"> </w:t>
      </w:r>
      <w:r>
        <w:rPr>
          <w:rFonts w:ascii="Arial" w:cs="Arial" w:eastAsia="Arial" w:hAnsi="Arial"/>
          <w:sz w:val="17"/>
          <w:szCs w:val="17"/>
          <w:color w:val="auto"/>
        </w:rPr>
        <w:t>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 Our business momentum is evidenced by our rapidly scaling commercial success and improving operational efficiency. Of approximately one million smNGS-based tests that we have processed since our initial launch, over 50% of them, or approximately 562,900 tests, were processed within the last 12 months</w:t>
      </w:r>
    </w:p>
    <w:p>
      <w:pPr>
        <w:spacing w:after="0" w:line="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ended September 30, 2025. For the year ended December 31, 2024, we generated revenue of $152.6 million, representing 113% year-over-year growth, with a gross margin of 53% and net loss of $41.6 million. While we have generally incurred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645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8" w:lineRule="exact"/>
        <w:rPr>
          <w:sz w:val="20"/>
          <w:szCs w:val="20"/>
          <w:color w:val="auto"/>
        </w:rPr>
      </w:pPr>
    </w:p>
    <w:p>
      <w:pPr>
        <w:ind w:left="660" w:right="20" w:hanging="652"/>
        <w:spacing w:after="0" w:line="236" w:lineRule="auto"/>
        <w:tabs>
          <w:tab w:leader="none" w:pos="248"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ind w:left="660" w:right="660" w:hanging="652"/>
        <w:spacing w:after="0" w:line="219" w:lineRule="auto"/>
        <w:tabs>
          <w:tab w:leader="none" w:pos="248"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More than 50% more actionable/reportable mutations when compared to the comparator products in the aggregate. Actual percentages may vary depending on the individual comparator test.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since inception, and had an accumulated deficit of $280.7 million as of September 30, 2025, we had net income of $1.5 million for the nine months ended September 30, 2025 compared to a net loss of $30.1 million for the nine months ended September 30, 2024. During the nine months ended September 30, 2025, we generated revenue of $209.1 million, representing 95% year-over-year revenue growth as compared to the nine months ended September 30, 2024 with a gross margin of 67%. This translated to a non-GAAP income from operations of $15.3 million for the nine months ended September 30, 2025 compared to a non-GAAP loss from operations of $29.4 million for the nine months ended September 30, 2024, which represented an improvement of approximately $44.7 million.</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7, 2025, we closed our initial public offering (“IPO”) of our Class A common stock, in which the Company issued and sold 5,233,765 shares of its Class A common stock, which includes the exercise in full of the underwriters’ option to purchase an additional 682,665 shares of Class A common stock, at a public offering price of $60.00 per share. The IPO resulted in net proceeds of $ 286.4 million after underwriting discounts, commissions and offering expenses payable by us. In connection with the IPO, 4,552,650 shares of our Class A common stock owned by Oguzhan Atay, our Chief Executive Officer and Co-Founder, and David Tsao, our Chief Technology Officer and Co-Founder were exchanged for an equivalent number of shares of Class B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key performance metrics</w:t>
      </w:r>
    </w:p>
    <w:p>
      <w:pPr>
        <w:spacing w:after="0" w:line="14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revenue is driven by selling and performing molecular diagnostic tests ordered by physicians and other providers. We generally bill the patients’ insurance carrier, the patient, or a combination of both upon delivery of the test results.</w:t>
      </w:r>
    </w:p>
    <w:p>
      <w:pPr>
        <w:spacing w:after="0" w:line="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revenue is the function of two inputs: the number of tests ordered and the ASP that we can achieve through reimbursement. There is a flywheel effect between these two factors. The more tests that we process, the easier it becomes for us to contract with third-party payors and become an in-network provider. This increases our ASP for our tests, as the denial rate of our tests significantly decreases once we become an in-network provider. As we become an in-network provider, it becomes easier for our sales representatives to convince ordering providers to use our tests. We believe that the combined effect of ASP increases, cost of goods sold (COGS) decreases, and improved operational efficiency has been the main driver in decreases in our net losses.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total test volume, which represents the number of billable tests that we receive for processing during each period and which we also refer to as tests accessioned, grew to approximately 162,900 tests for the three months ended September 30, 2025, compared to 107,900 for the three months ended September 30, 2024. In addition, our total delivered and billable test volume, which represents the number of billable tests for which we deliver a result to the ordering provider each period, grew to approximately 165,000 tests in the three months ended September 30, 2025, compared to 108,500 delivered and billable tests in the three months ended September 30, 2024.</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results of operations and performance</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believe certain factors have influenced, and will continue to influence, our operating performance and results of operations. While each of these factors presents significant opportunities for our business, they also pose important risks and challenges that we must successfully address to sustain and grow our business and improve our results of operations. Our ability to successfully address the factors below is subject to various risks and uncertainties, including those described under the section titled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adoption and commercial success</w:t>
      </w:r>
    </w:p>
    <w:p>
      <w:pPr>
        <w:spacing w:after="0" w:line="22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success and future growth depend on maintaining and expanding market acceptance and achieving commercial success in our prenatal and oncology product lines. This requires our sales teams to develop and maintain relationships with obstetricians, maternal-fetal medicine specialists, oncologists, and other providers. In addition, our sales teams must be able to convincingly communicate the clinical utility and value of our tests in enabling personalized patient care. The commercial success of our existing tests and any new tests we develop will depend upon factors such as clinical evidence supporting their effectiveness, inclusion in clinical practice guidelines, adoption by the medical community, favorable coverage by third-party payors, and our ability to differentiate our offerings in competitive markets. In addition, our ability to maintain and expand our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capabilities to support increased adoption of our molecular diagnostic solutions will be another key factor to our success.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 coverage, contracting, and more effective reimbursement operations</w:t>
      </w:r>
    </w:p>
    <w:p>
      <w:pPr>
        <w:spacing w:after="0" w:line="2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ASPs and revenue depend heavily on our success in achieving and maintaining broad coverage and adequate reimbursement for our molecular diagnostic tests from third-party payors. Third-party reimbursement for our tests represented more than 90% of our revenue for the nine months ended September 30, 2025 and the year ended December 31, 2024, and we expect government and commercial third-party payors to continue to be our primary source of payments. Coverage and reimbursement by third-party payors, including commercial health</w:t>
      </w:r>
    </w:p>
    <w:p>
      <w:pPr>
        <w:ind w:right="20"/>
        <w:spacing w:after="0"/>
        <w:rPr>
          <w:sz w:val="20"/>
          <w:szCs w:val="20"/>
          <w:color w:val="auto"/>
        </w:rPr>
      </w:pPr>
      <w:r>
        <w:rPr>
          <w:rFonts w:ascii="Arial" w:cs="Arial" w:eastAsia="Arial" w:hAnsi="Arial"/>
          <w:sz w:val="17"/>
          <w:szCs w:val="17"/>
          <w:color w:val="auto"/>
        </w:rPr>
        <w:t>insurers, managed care organizations, and government healthcare programs such as Medicare and Medicaid, can be limited and uncertain for the types of specialized molecular diagnostic tests we offer. Each payor makes its own determination as to whether to establish a policy to</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cover our tests as well as the amount it will reimburse for such tests. Payors make these determinations based on factors that include medical necessity, clinical utility, and cost-effectiveness. Reimbursement rates vary significantly by test-type, payor, and coverage determination. Historically, our market access and reimbursement teams have pursued strategies to increasing our ASPs by expanding our payor coverage and reimbursement. We believe these strategies will continue to grow our ASPs over time.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Internalizing and strengthening our reimbursement capabilities and incorporating automation and AI to reimbursement operations</w:t>
      </w:r>
    </w:p>
    <w:p>
      <w:pPr>
        <w:spacing w:after="0" w:line="23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have invested in building a high-performing, specialized team dedicated to all aspects of reimbursement, including claims management, appeals, and payor relations. In July 2023, we transitioned from relying on third-party vendors to managing our reimbursement function in-house. This team’s expertise and commitment have enabled a more consistent, and accurate billing and appeal process, along with the rapid identification and resolution of reimbursement issues.</w:t>
      </w:r>
    </w:p>
    <w:p>
      <w:pPr>
        <w:spacing w:after="0" w:line="201" w:lineRule="exact"/>
        <w:rPr>
          <w:sz w:val="20"/>
          <w:szCs w:val="20"/>
          <w:color w:val="auto"/>
        </w:rPr>
      </w:pPr>
    </w:p>
    <w:p>
      <w:pPr>
        <w:ind w:right="800"/>
        <w:spacing w:after="0" w:line="259" w:lineRule="auto"/>
        <w:rPr>
          <w:sz w:val="20"/>
          <w:szCs w:val="20"/>
          <w:color w:val="auto"/>
        </w:rPr>
      </w:pPr>
      <w:r>
        <w:rPr>
          <w:rFonts w:ascii="Arial" w:cs="Arial" w:eastAsia="Arial" w:hAnsi="Arial"/>
          <w:sz w:val="17"/>
          <w:szCs w:val="17"/>
          <w:color w:val="auto"/>
        </w:rPr>
        <w:t>In addition, we have integrated our internal systems end-to-end, automated many of the repetitive reimbursement procedures, and incorporated AI for significant efficiency improvements (e.g., using large language models (“LLMs”) to read, categorize, and react to</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thousands of correspondence from insurance companies that we receive every day), allowing our team to significantly increase their productivity. This strategic move not only streamlines our operations and improves cash flow but also allows us to better advocate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of our diagnostic tests with payors by providing rapid feedback and responding proactively to evolving reimbursement trends.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Relentless focus on reducing costs and increasing operational efficiency</w:t>
      </w:r>
    </w:p>
    <w:p>
      <w:pPr>
        <w:spacing w:after="0" w:line="23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financial results depend upon our ability to support current and future levels of demand for our prenatal screening and oncology diagnostic tests while maintaining discipline around our cost structure. Historically, we have been able to grow the size of our operational team much more slowly than our test volume increases. This has led to significantly increased operational leverage and efficiencies on a per-test basis and has been a driver in improving our net income (loss) margin.</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actively seek ways to continuously reduce our costs-per-test and improve our gross profit margin, long-term profitability, and return on investment. For example, we have reduced COGS per test through automation and optimization of laboratory workflows, successful negotiations with suppliers, and re-design and re-validation of assays with more optimized chemistry or higher-throughput sequencing. Nevertheless, as our test volumes grow, we have made and will continue to make significant investments in state-of-the-art infrastructure to support our growth. In 2023 we successfully expanded our laboratory operations from a single facility with 36,000 square feet in Menlo Park,</w:t>
      </w:r>
    </w:p>
    <w:p>
      <w:pPr>
        <w:ind w:right="180"/>
        <w:spacing w:after="0"/>
        <w:rPr>
          <w:sz w:val="20"/>
          <w:szCs w:val="20"/>
          <w:color w:val="auto"/>
        </w:rPr>
      </w:pPr>
      <w:r>
        <w:rPr>
          <w:rFonts w:ascii="Arial" w:cs="Arial" w:eastAsia="Arial" w:hAnsi="Arial"/>
          <w:sz w:val="17"/>
          <w:szCs w:val="17"/>
          <w:color w:val="auto"/>
        </w:rPr>
        <w:t>CA by adding a second laboratory facility in Union City, CA with 90,000 square feet. To further support our growth beyond our current facilities, we have also entered a lease for the construction of 220,000 square feet of laboratory space in Austin, Texas with favorable terms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and tenant improvement package. We expect to occupy this facility in 2027, and open in 2028. Once the facility is fully utilized, we expect our potential testing capacity to be nearly triple our current capabilities.</w:t>
      </w:r>
    </w:p>
    <w:p>
      <w:pPr>
        <w:spacing w:after="0" w:line="19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addition, we must simultaneously enhance our customer service capabilities, improve our billing and administrative processes, expand our quality assurance programs, incorporate new laboratory equipment and automation, and implement new technology systems, all while maintaining competitive turnaround times. As such, our expenses may increase. In order to maintain cost discipline, we will continue to re-design and optimize our processes, integrate AI into our workflows, and increasingly automate both our laboratory and non-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laboratory operations. We believe that our continued focus in optimization, automation, and AI for higher operational efficiencies will drive further productivity gains.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research and development and new product innovation</w:t>
      </w:r>
    </w:p>
    <w:p>
      <w:pPr>
        <w:spacing w:after="0" w:line="23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expect to maintain significant levels of investment in research and development as we continue to develop new molecular diagnostic assays, enhance existing tests, and expand our testing capabilities into new clinical applications within our prenatal screening and oncology diagnostics product lines. These investments include costs for new test development, costs to validate new assays or to improve current</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assays, clinical studies to demonstrate utility and support reimbursement efforts, and development costs for new testing methodologies and platforms. Our ability to develop new products, obtain regulatory approvals for such products when required, successfully launch new</w:t>
      </w:r>
    </w:p>
    <w:p>
      <w:pPr>
        <w:spacing w:after="0" w:line="2"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products into the market, and drive adoption by healthcare providers will continue to play a key role in our competitive position and financial results. We believe these investments are critical to maintaining our technological leadership, supporting physician adoption, and driving favorable coverage decisions by payors across both our prenatal and oncology product lines.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majority of our revenue is derived from sales of our prenatal test, UNITY, and a smaller portion is derived from sales of our liquid biopsy oncology tests, Northstar. Specifically, in 2024, 96% of our revenue was from our prenatal tests, 2% of our revenue was from our oncology tests, and 2% of our revenue was from our clinical trial support and other services. Additionally, during the nine months ended September 30, 2025, approximately 91% of our revenue was from our prenatal tests, 8% of our revenue was from our oncology tests, and 1% of our revenue was from our clinical trial support and other services. We market our products to health clinics and physicians or a combination of the insurance carrier and patient for fees. Revenue for tests is recognized when test results are delivered to the ordering physician.</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many health clinics and physicians, the payment we ultimately receive depends upon the rate of reimbursement from insurance carriers. We may also negotiate rates with patients if the patient is responsible for payment. Our efforts in obtaining reimbursement based on individual claims, including pursuing appeals or reconsiderations of claim denials, may take a substantial amount of time, and bills may not be paid for many months or, in some cases, ultimately may not receive payment.</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our revenue to increase over time as we expand our sales efforts, introduce new products, and contract with more payors. In addition, positive reimbursement decisions from insurance carriers would eliminate much of the uncertainty around payment and increase our overall revenue growth from ordering physicians.</w:t>
      </w:r>
    </w:p>
    <w:p>
      <w:pPr>
        <w:spacing w:after="0" w:line="10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clinical trial support and other services includes revenue from a strategic partnership with Johnson &amp; Johnson that utilizes our testing capabilities as part of a project to perform clinical trials. Revenue from this strategic partnership agreement is recognized as services are performed and tests are delivered, as well as upon the achievement of certain milestones including (i) receipt of approval of the trial, which was achieved in 2023, (ii) various patient enrollment milestones, and (iii) subsequent full trial completion. Our revenue derived from this agreement has not been material to our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the Company recorded revenue of $3.7 million (or 4% of total revenues) and $8.7</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million (or 4% of total revenues), respectively, as a result of changes in estimate resulting from higher than expected cash collections, due to higher than expected reimbursement rates and lower than expected disallowed claims, and the corresponding impact on our average selling</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price for tests delivered in prior periods. For the three and nine months ended September 30, 2024, the Company recorded revenue of $1.4 million (or 4% of total revenues) and $10.2 million (or 9% of total revenues), respectively, as a result of changes in estimate resulting from higher than expected cash collections, due to higher than expected reimbursement rates and lower than expected disallowed claims, and the corresponding impact on average selling price for tests delivered in prior periods.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cost of revenue consists primarily of expenses related to materials and consumables, test kits, personnel-related expenses such as salaries, stock-based compensation and related benefits for its operations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support personnel, shipping costs, overhead allocations, depreciation expense, facilities-related expenses and other services used in connection delivering the Company’s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has been, and may in the future be, influenced by several factors, including test volumes and prices paid for our tests, changes in materials and consumables costs, laboratory processing costs, personnel costs, shipping, and logistics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clinical samples and conduct clinical studies to develop and support our products. These costs consist primarily of personnel-related expenses such as salaries and related benefits for our product development employees. Research and development expenses also include non-personnel costs such as materials and consumables used for research, clinical third-party services and consulting expenses, and an allocation of our general overhead expenses. These costs are expensed in the period as incurred.</w:t>
      </w:r>
    </w:p>
    <w:p>
      <w:pPr>
        <w:spacing w:after="0" w:line="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believe that continued investment in our products is important to our future growth and, as a result, we expect our research and development costs to increase in absolute dollars and moderately decline as a percentage of revenue over time if our revenue increases.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Selling, general and administrative expenses consist primarily of personnel-related expenses such as salaries and related benefits for our sales, marketing, and general and administrative employees. Selling, general and administrative expenses also include commission payments, marketing related expenses in promoting our brand and tests, and training costs for the sales employees.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expect selling, general and administrative expenses to increase in absolute dollars as we increase our sales and marketing personnel, increase product offerings, grow our operations and incur additional expenses associated with operating as a public company. These expenses as a result of operating as a public company include expenses necessary to comply with the rules and regulations applicable to companies listed on Nasdaq and related compliance and reporting obligations pursuant to the rules and regulations of the SEC, as well as higher expenses for general and director and officer insurance, investor relations and other professional services.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short-term cash and cash equivalents and marketable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Interest expense was mostly attributable to our borrowing with Western Alliance Bank, including the amortization of the debt discount up until August 2024 when we repaid the debt in full. In August 2024 we entered into a term loan agreement with Oberland Capital, and most of our interest expense has been attributable to Oberland since that time. Interest on our finance leases is also recorded in interest expense.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gain on extinguishment of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(loss) gain on extinguishment of debt relates to the extinguishment of the Western Alliance Bank debt and 2022 Convertible Notes.</w:t>
      </w:r>
    </w:p>
    <w:p>
      <w:pPr>
        <w:spacing w:after="0" w:line="15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elected to prepay the outstanding amount of the Western Alliance Bank debt in August 2024 and wrote-off the unamortized debt issuance costs incurred before prepayment fees in connection with the extinguishment.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2022 Convertible Notes were amended such that the 2022 Convertible Notes converted into a round of preferred equity not originally contemplated in the agreement which we concluded was accounted for as a debt extinguishment. The gain on extinguishment consisted of the difference between the fair value of preferred equity received and the carrying amount of the 2022 Convertible Notes.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term loan</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Change in fair value of term loan relates to the Oberland Capital debt where we elected the fair value option under ASC 825 and is accounted for at fair value on a recurring basis. We also elected to record interest expense related to the Oberland Capital debt as change in fair value of term loan.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notes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Change in fair value of convertible notes relates to convertible debt where we elected the fair value option under ASC 825 and is accounted for at fair value on a recurring basis. We also elected to record interest expense related to the convertible debt as change in fair value of convertible notes.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expense, net is comprised of the change in fair value of our liabilities related to warrants for common stock and redeemable convertible preferred stock and various income or expense items of a non-recurring nature.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Provision for income taxes consists of U.S. federal, state, and foreign income taxes. We maintain a full valuation allowance on our federal and state deferred tax assets as we have concluded that it is not more likely than not that the deferred tax assets will be realized.</w:t>
      </w:r>
    </w:p>
    <w:p>
      <w:pPr>
        <w:spacing w:after="0" w:line="8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account for uncertain tax positions in accordance with ASC 740-10, Accounting for Uncertainty in Income Taxes.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 are classified in the financial statements as income tax expense.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three months ended September 30, 2025 and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22"/>
                <w:szCs w:val="22"/>
                <w:color w:val="auto"/>
              </w:rPr>
            </w:pPr>
          </w:p>
        </w:tc>
        <w:tc>
          <w:tcPr>
            <w:tcW w:w="172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7"/>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00" w:type="dxa"/>
            <w:vAlign w:val="bottom"/>
            <w:gridSpan w:val="6"/>
          </w:tcPr>
          <w:p>
            <w:pPr>
              <w:ind w:left="140"/>
              <w:spacing w:after="0"/>
              <w:rPr>
                <w:sz w:val="20"/>
                <w:szCs w:val="20"/>
                <w:color w:val="auto"/>
              </w:rPr>
            </w:pPr>
            <w:r>
              <w:rPr>
                <w:rFonts w:ascii="Arial" w:cs="Arial" w:eastAsia="Arial" w:hAnsi="Arial"/>
                <w:sz w:val="18"/>
                <w:szCs w:val="18"/>
                <w:i w:val="1"/>
                <w:iCs w:val="1"/>
                <w:color w:val="auto"/>
              </w:rPr>
              <w:t>(in thousands, except percent)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83,523</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38,419</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45,104</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117.4 %</w:t>
            </w:r>
          </w:p>
        </w:tc>
        <w:tc>
          <w:tcPr>
            <w:tcW w:w="0" w:type="dxa"/>
            <w:vAlign w:val="bottom"/>
          </w:tcPr>
          <w:p>
            <w:pPr>
              <w:spacing w:after="0"/>
              <w:rPr>
                <w:sz w:val="1"/>
                <w:szCs w:val="1"/>
                <w:color w:val="auto"/>
              </w:rPr>
            </w:pPr>
          </w:p>
        </w:tc>
      </w:tr>
      <w:tr>
        <w:trPr>
          <w:trHeight w:val="247"/>
        </w:trPr>
        <w:tc>
          <w:tcPr>
            <w:tcW w:w="49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
        </w:trPr>
        <w:tc>
          <w:tcPr>
            <w:tcW w:w="494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DBDBDB"/>
            </w:tcBorders>
            <w:shd w:val="clear" w:color="auto" w:fill="DBDBDB"/>
          </w:tcPr>
          <w:p>
            <w:pPr>
              <w:spacing w:after="0"/>
              <w:rPr>
                <w:sz w:val="22"/>
                <w:szCs w:val="2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58,416</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38,201</w:t>
            </w:r>
          </w:p>
        </w:tc>
        <w:tc>
          <w:tcPr>
            <w:tcW w:w="100" w:type="dxa"/>
            <w:vAlign w:val="bottom"/>
            <w:tcBorders>
              <w:bottom w:val="single" w:sz="8" w:color="DBDBDB"/>
            </w:tcBorders>
            <w:shd w:val="clear" w:color="auto" w:fill="DBDBDB"/>
          </w:tcPr>
          <w:p>
            <w:pPr>
              <w:spacing w:after="0"/>
              <w:rPr>
                <w:sz w:val="22"/>
                <w:szCs w:val="22"/>
                <w:color w:val="auto"/>
              </w:rPr>
            </w:pPr>
          </w:p>
        </w:tc>
        <w:tc>
          <w:tcPr>
            <w:tcW w:w="400" w:type="dxa"/>
            <w:vAlign w:val="bottom"/>
            <w:tcBorders>
              <w:bottom w:val="single" w:sz="8" w:color="DBDBDB"/>
            </w:tcBorders>
            <w:shd w:val="clear" w:color="auto" w:fill="DBDBDB"/>
          </w:tcPr>
          <w:p>
            <w:pPr>
              <w:spacing w:after="0"/>
              <w:rPr>
                <w:sz w:val="22"/>
                <w:szCs w:val="22"/>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35,830</w:t>
            </w:r>
          </w:p>
        </w:tc>
        <w:tc>
          <w:tcPr>
            <w:tcW w:w="8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12,531</w:t>
            </w:r>
          </w:p>
        </w:tc>
        <w:tc>
          <w:tcPr>
            <w:tcW w:w="100" w:type="dxa"/>
            <w:vAlign w:val="bottom"/>
            <w:tcBorders>
              <w:bottom w:val="single" w:sz="8" w:color="DBDBDB"/>
            </w:tcBorders>
            <w:shd w:val="clear" w:color="auto" w:fill="DBDBDB"/>
          </w:tcPr>
          <w:p>
            <w:pPr>
              <w:spacing w:after="0"/>
              <w:rPr>
                <w:sz w:val="23"/>
                <w:szCs w:val="23"/>
                <w:color w:val="auto"/>
              </w:rPr>
            </w:pPr>
          </w:p>
        </w:tc>
        <w:tc>
          <w:tcPr>
            <w:tcW w:w="400" w:type="dxa"/>
            <w:vAlign w:val="bottom"/>
            <w:tcBorders>
              <w:bottom w:val="single" w:sz="8" w:color="DBDBDB"/>
            </w:tcBorders>
            <w:shd w:val="clear" w:color="auto" w:fill="DBDBDB"/>
          </w:tcPr>
          <w:p>
            <w:pPr>
              <w:spacing w:after="0"/>
              <w:rPr>
                <w:sz w:val="23"/>
                <w:szCs w:val="23"/>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1"/>
        </w:trPr>
        <w:tc>
          <w:tcPr>
            <w:tcW w:w="4940" w:type="dxa"/>
            <w:vAlign w:val="bottom"/>
          </w:tcPr>
          <w:p>
            <w:pPr>
              <w:ind w:left="10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48,783</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
        </w:trPr>
        <w:tc>
          <w:tcPr>
            <w:tcW w:w="494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9,633</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22,267</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Net (loss) gain on extinguishment of debt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Change in fair value of term loan</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(3,936)</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3"/>
        </w:trPr>
        <w:tc>
          <w:tcPr>
            <w:tcW w:w="494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DBDBDB"/>
            </w:tcBorders>
            <w:shd w:val="clear" w:color="auto" w:fill="DBDBDB"/>
          </w:tcPr>
          <w:p>
            <w:pPr>
              <w:spacing w:after="0"/>
              <w:rPr>
                <w:sz w:val="22"/>
                <w:szCs w:val="2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(4,051)</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DBDBDB"/>
            </w:tcBorders>
            <w:shd w:val="clear" w:color="auto" w:fill="DBDBDB"/>
          </w:tcPr>
          <w:p>
            <w:pPr>
              <w:spacing w:after="0"/>
              <w:rPr>
                <w:sz w:val="22"/>
                <w:szCs w:val="22"/>
                <w:color w:val="auto"/>
              </w:rPr>
            </w:pPr>
          </w:p>
        </w:tc>
        <w:tc>
          <w:tcPr>
            <w:tcW w:w="400" w:type="dxa"/>
            <w:vAlign w:val="bottom"/>
            <w:tcBorders>
              <w:bottom w:val="single" w:sz="8" w:color="DBDBDB"/>
            </w:tcBorders>
            <w:shd w:val="clear" w:color="auto" w:fill="DBDBDB"/>
          </w:tcPr>
          <w:p>
            <w:pPr>
              <w:spacing w:after="0"/>
              <w:rPr>
                <w:sz w:val="22"/>
                <w:szCs w:val="22"/>
                <w:color w:val="auto"/>
              </w:rPr>
            </w:pPr>
          </w:p>
        </w:tc>
        <w:tc>
          <w:tcPr>
            <w:tcW w:w="12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0"/>
        </w:trPr>
        <w:tc>
          <w:tcPr>
            <w:tcW w:w="4940" w:type="dxa"/>
            <w:vAlign w:val="bottom"/>
          </w:tcPr>
          <w:p>
            <w:pPr>
              <w:ind w:left="36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DBDBDB"/>
            </w:tcBorders>
            <w:shd w:val="clear" w:color="auto" w:fill="DBDBDB"/>
          </w:tcPr>
          <w:p>
            <w:pPr>
              <w:spacing w:after="0"/>
              <w:rPr>
                <w:sz w:val="23"/>
                <w:szCs w:val="23"/>
                <w:color w:val="auto"/>
              </w:rPr>
            </w:pPr>
          </w:p>
        </w:tc>
        <w:tc>
          <w:tcPr>
            <w:tcW w:w="400" w:type="dxa"/>
            <w:vAlign w:val="bottom"/>
            <w:tcBorders>
              <w:bottom w:val="single" w:sz="8" w:color="DBDBDB"/>
            </w:tcBorders>
            <w:shd w:val="clear" w:color="auto" w:fill="DBDBDB"/>
          </w:tcPr>
          <w:p>
            <w:pPr>
              <w:spacing w:after="0"/>
              <w:rPr>
                <w:sz w:val="23"/>
                <w:szCs w:val="23"/>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4940" w:type="dxa"/>
            <w:vAlign w:val="bottom"/>
          </w:tcPr>
          <w:p>
            <w:pPr>
              <w:ind w:left="1000"/>
              <w:spacing w:after="0" w:line="204" w:lineRule="exact"/>
              <w:rPr>
                <w:sz w:val="20"/>
                <w:szCs w:val="20"/>
                <w:color w:val="auto"/>
              </w:rPr>
            </w:pPr>
            <w:r>
              <w:rPr>
                <w:rFonts w:ascii="Arial" w:cs="Arial" w:eastAsia="Arial" w:hAnsi="Arial"/>
                <w:sz w:val="18"/>
                <w:szCs w:val="18"/>
                <w:color w:val="auto"/>
              </w:rPr>
              <w:t>Net income (loss) and comprehensive income</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5,711</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20,615</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138.3 %</w:t>
            </w:r>
          </w:p>
        </w:tc>
        <w:tc>
          <w:tcPr>
            <w:tcW w:w="0" w:type="dxa"/>
            <w:vAlign w:val="bottom"/>
          </w:tcPr>
          <w:p>
            <w:pPr>
              <w:spacing w:after="0"/>
              <w:rPr>
                <w:sz w:val="1"/>
                <w:szCs w:val="1"/>
                <w:color w:val="auto"/>
              </w:rPr>
            </w:pPr>
          </w:p>
        </w:tc>
      </w:tr>
      <w:tr>
        <w:trPr>
          <w:trHeight w:val="235"/>
        </w:trPr>
        <w:tc>
          <w:tcPr>
            <w:tcW w:w="4940" w:type="dxa"/>
            <w:vAlign w:val="bottom"/>
          </w:tcPr>
          <w:p>
            <w:pPr>
              <w:ind w:left="1000"/>
              <w:spacing w:after="0"/>
              <w:rPr>
                <w:sz w:val="20"/>
                <w:szCs w:val="20"/>
                <w:color w:val="auto"/>
              </w:rPr>
            </w:pPr>
            <w:r>
              <w:rPr>
                <w:rFonts w:ascii="Arial" w:cs="Arial" w:eastAsia="Arial" w:hAnsi="Arial"/>
                <w:sz w:val="18"/>
                <w:szCs w:val="18"/>
                <w:color w:val="auto"/>
              </w:rPr>
              <w:t>(loss)</w:t>
            </w: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increased $ 45.1 million, or 117%, for the three months ended September 30, 2025 compared to the three months ended September 30, 2024. This increase was driven primarily by a 52% increase in the total volume of delivered and billable tests to approximately 165,000 for the three months ended September 30, 2025 from approximately 108,500 for the three months ended September 30, 2024. The increase in revenue was also attributable to an increase in our Overall ASP</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44%.</w:t>
      </w:r>
    </w:p>
    <w:p>
      <w:pPr>
        <w:spacing w:after="0" w:line="3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derive our revenue primarily from the number of tests processed and results delivered to the ordering physician. All tests processed are accessioned in our laboratories.</w:t>
      </w:r>
    </w:p>
    <w:p>
      <w:pPr>
        <w:spacing w:after="0" w:line="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increase in test volume was driven by higher volumes of our prenatal tests primarily as a result of expansion of our sales force for our prenatal products. In addition, volumes for both our Northstar Select and Northstar Response oncology tests increased as a result of expansion of our oncology sales force. The increase in our ASP per test was driven by several factors. For example, we increased the number of contracts compared to last year that we have with payors for our prenatal tests and we continued to benefit from our proprietary PLA code, both of which drove increases in ASP for the three months ended September 30, 2025 compared to the same period in the prior year. We also benefited from an increased attachment and ordering rate of 22q11.2 micro deletion testing (our 22q test) along with our aneuploidy test and the resulting incremental reimbursement, and coverage of our RhD test from more payors. Furthermore, our ASPs for our Northstar Select oncology test increased as Medicare began to reimburse for this test during the first quarter of 2025, and we began to bill for our Northstar Response oncology test for the first time at the beginning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4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4" w:lineRule="exact"/>
        <w:rPr>
          <w:sz w:val="20"/>
          <w:szCs w:val="20"/>
          <w:color w:val="auto"/>
        </w:rPr>
      </w:pPr>
    </w:p>
    <w:p>
      <w:pPr>
        <w:ind w:right="300" w:firstLine="8"/>
        <w:spacing w:after="0" w:line="227" w:lineRule="auto"/>
        <w:tabs>
          <w:tab w:leader="none" w:pos="86"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Overall ASP is the weighted average Average Selling Price ("ASP") across all of our prenatal and oncology products. It is computed by dividing revenue for our prenatal and oncology tests by the number of tests that are delivered and billable.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 increased $6.9 million, or 38%, for the three months ended September 30, 2025 compared to the three months ended September 30, 2024. The increase was primarily due to an increase of $ 4.6 million in expenses associated with testing samples and supplies used in processing tests, phlebotomy, and related shipping costs, driven by a higher volume of tests processed; and an increase of $ 1.5 million in labor and consulting related expenses, including stock-based compensation, which were driven by higher test volumes and an increase in product support.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Gross profit increased $38.2 million, or 189%, for the three months ended September 30, 2025 compared to the three months ended September 30, 2024. The increase was primarily due to an increase in tests processed and a higher Overall ASP in conjunction with a lower cost per test as we continued to actively reduce variable expenses and increase efficiency from our fixed costs.</w:t>
      </w:r>
    </w:p>
    <w:p>
      <w:pPr>
        <w:spacing w:after="0" w:line="1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Gross margin increased to 70% for the three months ended September 30, 2025 from 53% for the three months ended September 30, 2024 for the reasons described above.</w:t>
      </w:r>
    </w:p>
    <w:p>
      <w:pPr>
        <w:spacing w:after="0" w:line="72" w:lineRule="exact"/>
        <w:rPr>
          <w:sz w:val="20"/>
          <w:szCs w:val="20"/>
          <w:color w:val="auto"/>
        </w:rPr>
      </w:pPr>
    </w:p>
    <w:p>
      <w:pPr>
        <w:jc w:val="both"/>
        <w:ind w:right="520"/>
        <w:spacing w:after="0" w:line="237" w:lineRule="auto"/>
        <w:rPr>
          <w:sz w:val="20"/>
          <w:szCs w:val="20"/>
          <w:color w:val="auto"/>
        </w:rPr>
      </w:pPr>
      <w:r>
        <w:rPr>
          <w:rFonts w:ascii="Arial" w:cs="Arial" w:eastAsia="Arial" w:hAnsi="Arial"/>
          <w:sz w:val="18"/>
          <w:szCs w:val="18"/>
          <w:color w:val="auto"/>
        </w:rPr>
        <w:t>The increase in our Overall ASP contributed to approximately 88% of the improvement of our gross margin for the three months ended September 30, 2025 as compared to the three months ended September 30, 2024. Decreases in Overall Cost Per Test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contributed to approximately 12% of the improvement in gross margin for the three months ended September 30, 2025.</w:t>
      </w:r>
    </w:p>
    <w:p>
      <w:pPr>
        <w:spacing w:after="0" w:line="11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For the three months ended September 30, 2025, our cost of goods sold consisted of 59% of variable costs and 41% of fixed costs and for the three months ended September 30, 2024 our cost of goods sold consisted of 55% of variable costs and 45% of fixed costs. The increase in variable costs during the period is attributable primarily to an increase in test volume from prenatal testing, partially offset by efficiencies gained in in our lab from the increased test volume in both prenatal and oncology testing.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$3.4 million, or 36%, for the three months ended September 30, 2025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2024. The increase was primarily due to a $2.3 million increase in personnel costs which includes $0.4</w:t>
      </w:r>
    </w:p>
    <w:p>
      <w:pPr>
        <w:spacing w:after="0"/>
        <w:rPr>
          <w:sz w:val="20"/>
          <w:szCs w:val="20"/>
          <w:color w:val="auto"/>
        </w:rPr>
      </w:pPr>
      <w:r>
        <w:rPr>
          <w:rFonts w:ascii="Arial" w:cs="Arial" w:eastAsia="Arial" w:hAnsi="Arial"/>
          <w:sz w:val="18"/>
          <w:szCs w:val="18"/>
          <w:color w:val="auto"/>
        </w:rPr>
        <w:t>million in stock-based compensation expense, a $0.9 million increase in materials, equipment expenses and overhead allocations, and 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$0.2 million increase in clinical studies expense. The increase in research and development expenses was primarily driven by an increase in</w:t>
      </w:r>
    </w:p>
    <w:p>
      <w:pPr>
        <w:spacing w:after="0" w:line="234" w:lineRule="auto"/>
        <w:rPr>
          <w:sz w:val="20"/>
          <w:szCs w:val="20"/>
          <w:color w:val="auto"/>
        </w:rPr>
      </w:pPr>
      <w:r>
        <w:rPr>
          <w:rFonts w:ascii="Arial" w:cs="Arial" w:eastAsia="Arial" w:hAnsi="Arial"/>
          <w:sz w:val="18"/>
          <w:szCs w:val="18"/>
          <w:color w:val="auto"/>
        </w:rPr>
        <w:t>average research and development headcount of 34 employees during the periods presented to support our product development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innovation efforts.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Selling, general and administrative expenses increased $12.5 million, or 54%, for the three months ended September 30, 2025 compared to the three months ended September 30, 2024. The increase was primarily due to a $10.3 million increase in salaries, commissions and</w:t>
      </w:r>
    </w:p>
    <w:p>
      <w:pPr>
        <w:spacing w:after="0" w:line="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related expenditure which includes $1.8 million in stock-based compensation expense, a $1.3 million increase in facilities and other costs, and a $0.9 million increase in professional and consulting fees. The increase in selling, general and administrative expenses was driven by an increase in average selling, general and administrative headcount of 118 employees during the periods presented to support our sales, marketing and other corporate strategies.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Interest income decreased by $0.4 million, or 21%, for the three months ended September 30, 2025 compared to the three months ended September 30, 2024. The decrease was primarily driven by lower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645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200" w:firstLine="8"/>
        <w:spacing w:after="0" w:line="227" w:lineRule="auto"/>
        <w:tabs>
          <w:tab w:leader="none" w:pos="86"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Overall Cost Per Test is the weighted average cost per test across all of our prenatal and oncology products. It is computed by dividing cost of goods sold for our prenatal and oncology tests by the number of tests that are accessioned.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Interest expense decreased $0.4 million, or 95%, for the three months ended September 30, 2025 compared to the three months ended September 30, 2024. The decrease is attributable to the payoff of the Western Alliance Bank debt; the principal on this debt was no longer outstanding during 2025.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gain on extinguishment of debt</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(loss) gain on extinguishment of debt was $1.3 million for the three months ended September 30, 2024. This was due to a $1.3 million loss on extinguishment of the Western Alliance Bank debt in August 2024. We did not record an extinguishment of debt during the three months ended September 30, 2025.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term loan</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Change in fair value of term loan increased $1.7 million, or 72% for the three months ended September 30, 2025 compared to the three months ended September 30, 2024. The increase was due to a change in fair value of the Oberland Capital debt of $1.3 million and interest expense of $0.4 million.</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increased $1.5 million, or 853%, for the three months ended September 30, 2025 compared to the three months ended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September 30, 2024, which was due to the following events, each of which increased the value of our common stock warrants: a higher probability that an IPO would occur, a reduced timeline until the IPO, and increase in valuation of our public peer companies during the nine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months ending September 30, 2025.</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nine months ended September 30,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22"/>
                <w:szCs w:val="22"/>
                <w:color w:val="auto"/>
              </w:rPr>
            </w:pPr>
          </w:p>
        </w:tc>
        <w:tc>
          <w:tcPr>
            <w:tcW w:w="172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7"/>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gridSpan w:val="6"/>
          </w:tcPr>
          <w:p>
            <w:pPr>
              <w:ind w:left="140"/>
              <w:spacing w:after="0"/>
              <w:rPr>
                <w:sz w:val="20"/>
                <w:szCs w:val="20"/>
                <w:color w:val="auto"/>
              </w:rPr>
            </w:pPr>
            <w:r>
              <w:rPr>
                <w:rFonts w:ascii="Arial" w:cs="Arial" w:eastAsia="Arial" w:hAnsi="Arial"/>
                <w:sz w:val="18"/>
                <w:szCs w:val="18"/>
                <w:i w:val="1"/>
                <w:iCs w:val="1"/>
                <w:color w:val="auto"/>
              </w:rPr>
              <w:t>(in thousands, except percent)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209,059</w:t>
            </w:r>
          </w:p>
        </w:tc>
        <w:tc>
          <w:tcPr>
            <w:tcW w:w="100" w:type="dxa"/>
            <w:vAlign w:val="bottom"/>
            <w:shd w:val="clear" w:color="auto" w:fill="DBDBDB"/>
          </w:tcPr>
          <w:p>
            <w:pPr>
              <w:spacing w:after="0"/>
              <w:rPr>
                <w:sz w:val="23"/>
                <w:szCs w:val="23"/>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107,505</w:t>
            </w:r>
          </w:p>
        </w:tc>
        <w:tc>
          <w:tcPr>
            <w:tcW w:w="80" w:type="dxa"/>
            <w:vAlign w:val="bottom"/>
            <w:shd w:val="clear" w:color="auto" w:fill="DBDBDB"/>
          </w:tcPr>
          <w:p>
            <w:pPr>
              <w:spacing w:after="0"/>
              <w:rPr>
                <w:sz w:val="23"/>
                <w:szCs w:val="23"/>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101,554</w:t>
            </w:r>
          </w:p>
        </w:tc>
        <w:tc>
          <w:tcPr>
            <w:tcW w:w="10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94.5 %</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69,205</w:t>
            </w:r>
          </w:p>
        </w:tc>
        <w:tc>
          <w:tcPr>
            <w:tcW w:w="100" w:type="dxa"/>
            <w:vAlign w:val="bottom"/>
            <w:tcBorders>
              <w:bottom w:val="single" w:sz="8" w:color="DBDBDB"/>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52,309</w:t>
            </w:r>
          </w:p>
        </w:tc>
        <w:tc>
          <w:tcPr>
            <w:tcW w:w="80" w:type="dxa"/>
            <w:vAlign w:val="bottom"/>
            <w:tcBorders>
              <w:bottom w:val="single" w:sz="8" w:color="DBDBDB"/>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DBDBDB"/>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63"/>
        </w:trPr>
        <w:tc>
          <w:tcPr>
            <w:tcW w:w="4940" w:type="dxa"/>
            <w:vAlign w:val="bottom"/>
            <w:shd w:val="clear" w:color="auto" w:fill="DBDBDB"/>
          </w:tcPr>
          <w:p>
            <w:pPr>
              <w:ind w:left="7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139,854</w:t>
            </w:r>
          </w:p>
        </w:tc>
        <w:tc>
          <w:tcPr>
            <w:tcW w:w="100" w:type="dxa"/>
            <w:vAlign w:val="bottom"/>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55,196</w:t>
            </w:r>
          </w:p>
        </w:tc>
        <w:tc>
          <w:tcPr>
            <w:tcW w:w="80" w:type="dxa"/>
            <w:vAlign w:val="bottom"/>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84,658</w:t>
            </w:r>
          </w:p>
        </w:tc>
        <w:tc>
          <w:tcPr>
            <w:tcW w:w="100" w:type="dxa"/>
            <w:vAlign w:val="bottom"/>
            <w:shd w:val="clear" w:color="auto" w:fill="DBDBDB"/>
          </w:tcPr>
          <w:p>
            <w:pPr>
              <w:spacing w:after="0"/>
              <w:rPr>
                <w:sz w:val="22"/>
                <w:szCs w:val="22"/>
                <w:color w:val="auto"/>
              </w:rPr>
            </w:pPr>
          </w:p>
        </w:tc>
        <w:tc>
          <w:tcPr>
            <w:tcW w:w="40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0"/>
        </w:trPr>
        <w:tc>
          <w:tcPr>
            <w:tcW w:w="4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DBDBDB"/>
          </w:tcPr>
          <w:p>
            <w:pPr>
              <w:spacing w:after="0"/>
              <w:rPr>
                <w:sz w:val="23"/>
                <w:szCs w:val="2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99,029</w:t>
            </w:r>
          </w:p>
        </w:tc>
        <w:tc>
          <w:tcPr>
            <w:tcW w:w="100" w:type="dxa"/>
            <w:vAlign w:val="bottom"/>
            <w:shd w:val="clear" w:color="auto" w:fill="DBDBDB"/>
          </w:tcPr>
          <w:p>
            <w:pPr>
              <w:spacing w:after="0"/>
              <w:rPr>
                <w:sz w:val="23"/>
                <w:szCs w:val="23"/>
                <w:color w:val="auto"/>
              </w:rPr>
            </w:pPr>
          </w:p>
        </w:tc>
        <w:tc>
          <w:tcPr>
            <w:tcW w:w="240" w:type="dxa"/>
            <w:vAlign w:val="bottom"/>
            <w:tcBorders>
              <w:bottom w:val="single" w:sz="8" w:color="auto"/>
            </w:tcBorders>
            <w:shd w:val="clear" w:color="auto" w:fill="DBDBDB"/>
          </w:tcPr>
          <w:p>
            <w:pPr>
              <w:spacing w:after="0"/>
              <w:rPr>
                <w:sz w:val="23"/>
                <w:szCs w:val="23"/>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65,050</w:t>
            </w:r>
          </w:p>
        </w:tc>
        <w:tc>
          <w:tcPr>
            <w:tcW w:w="80" w:type="dxa"/>
            <w:vAlign w:val="bottom"/>
            <w:shd w:val="clear" w:color="auto" w:fill="DBDBDB"/>
          </w:tcPr>
          <w:p>
            <w:pPr>
              <w:spacing w:after="0"/>
              <w:rPr>
                <w:sz w:val="23"/>
                <w:szCs w:val="23"/>
                <w:color w:val="auto"/>
              </w:rPr>
            </w:pPr>
          </w:p>
        </w:tc>
        <w:tc>
          <w:tcPr>
            <w:tcW w:w="260" w:type="dxa"/>
            <w:vAlign w:val="bottom"/>
            <w:tcBorders>
              <w:bottom w:val="single" w:sz="8" w:color="auto"/>
            </w:tcBorders>
            <w:shd w:val="clear" w:color="auto" w:fill="DBDBDB"/>
          </w:tcPr>
          <w:p>
            <w:pPr>
              <w:spacing w:after="0"/>
              <w:rPr>
                <w:sz w:val="23"/>
                <w:szCs w:val="23"/>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33,979</w:t>
            </w:r>
          </w:p>
        </w:tc>
        <w:tc>
          <w:tcPr>
            <w:tcW w:w="100" w:type="dxa"/>
            <w:vAlign w:val="bottom"/>
            <w:shd w:val="clear" w:color="auto" w:fill="DBDBDB"/>
          </w:tcPr>
          <w:p>
            <w:pPr>
              <w:spacing w:after="0"/>
              <w:rPr>
                <w:sz w:val="23"/>
                <w:szCs w:val="23"/>
                <w:color w:val="auto"/>
              </w:rPr>
            </w:pPr>
          </w:p>
        </w:tc>
        <w:tc>
          <w:tcPr>
            <w:tcW w:w="400" w:type="dxa"/>
            <w:vAlign w:val="bottom"/>
            <w:tcBorders>
              <w:bottom w:val="single" w:sz="8" w:color="auto"/>
            </w:tcBorders>
            <w:shd w:val="clear" w:color="auto" w:fill="DBDBDB"/>
          </w:tcPr>
          <w:p>
            <w:pPr>
              <w:spacing w:after="0"/>
              <w:rPr>
                <w:sz w:val="23"/>
                <w:szCs w:val="23"/>
                <w:color w:val="auto"/>
              </w:rPr>
            </w:pP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134,163</w:t>
            </w:r>
          </w:p>
        </w:tc>
        <w:tc>
          <w:tcPr>
            <w:tcW w:w="100" w:type="dxa"/>
            <w:vAlign w:val="bottom"/>
            <w:tcBorders>
              <w:bottom w:val="single" w:sz="8" w:color="DBDBDB"/>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90,650</w:t>
            </w:r>
          </w:p>
        </w:tc>
        <w:tc>
          <w:tcPr>
            <w:tcW w:w="80" w:type="dxa"/>
            <w:vAlign w:val="bottom"/>
            <w:tcBorders>
              <w:bottom w:val="single" w:sz="8" w:color="DBDBDB"/>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43,513</w:t>
            </w:r>
          </w:p>
        </w:tc>
        <w:tc>
          <w:tcPr>
            <w:tcW w:w="100" w:type="dxa"/>
            <w:vAlign w:val="bottom"/>
            <w:tcBorders>
              <w:bottom w:val="single" w:sz="8" w:color="DBDBDB"/>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63"/>
        </w:trPr>
        <w:tc>
          <w:tcPr>
            <w:tcW w:w="49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(35,454)</w:t>
            </w:r>
          </w:p>
        </w:tc>
        <w:tc>
          <w:tcPr>
            <w:tcW w:w="8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41,145</w:t>
            </w:r>
          </w:p>
        </w:tc>
        <w:tc>
          <w:tcPr>
            <w:tcW w:w="10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Net (loss) gain on extinguishment of debt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Change in fair value of term loan</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(2,283)</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2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DBDBDB"/>
            </w:tcBorders>
            <w:shd w:val="clear" w:color="auto" w:fill="DBDBDB"/>
          </w:tcPr>
          <w:p>
            <w:pPr>
              <w:spacing w:after="0"/>
              <w:rPr>
                <w:sz w:val="23"/>
                <w:szCs w:val="23"/>
                <w:color w:val="auto"/>
              </w:rPr>
            </w:pPr>
          </w:p>
        </w:tc>
        <w:tc>
          <w:tcPr>
            <w:tcW w:w="240" w:type="dxa"/>
            <w:vAlign w:val="bottom"/>
            <w:tcBorders>
              <w:bottom w:val="single" w:sz="8" w:color="DBDBDB"/>
            </w:tcBorders>
            <w:shd w:val="clear" w:color="auto" w:fill="DBDBDB"/>
          </w:tcPr>
          <w:p>
            <w:pPr>
              <w:spacing w:after="0"/>
              <w:rPr>
                <w:sz w:val="23"/>
                <w:szCs w:val="23"/>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DBDBDB"/>
            </w:tcBorders>
            <w:shd w:val="clear" w:color="auto" w:fill="DBDBDB"/>
          </w:tcPr>
          <w:p>
            <w:pPr>
              <w:spacing w:after="0"/>
              <w:rPr>
                <w:sz w:val="23"/>
                <w:szCs w:val="23"/>
                <w:color w:val="auto"/>
              </w:rPr>
            </w:pPr>
          </w:p>
        </w:tc>
        <w:tc>
          <w:tcPr>
            <w:tcW w:w="400" w:type="dxa"/>
            <w:vAlign w:val="bottom"/>
            <w:tcBorders>
              <w:bottom w:val="single" w:sz="8" w:color="DBDBDB"/>
            </w:tcBorders>
            <w:shd w:val="clear" w:color="auto" w:fill="DBDBDB"/>
          </w:tcPr>
          <w:p>
            <w:pPr>
              <w:spacing w:after="0"/>
              <w:rPr>
                <w:sz w:val="23"/>
                <w:szCs w:val="23"/>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0"/>
        </w:trPr>
        <w:tc>
          <w:tcPr>
            <w:tcW w:w="4940" w:type="dxa"/>
            <w:vAlign w:val="bottom"/>
          </w:tcPr>
          <w:p>
            <w:pPr>
              <w:ind w:left="100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
        </w:trPr>
        <w:tc>
          <w:tcPr>
            <w:tcW w:w="494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(30,088)</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31,550</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7"/>
        </w:trPr>
        <w:tc>
          <w:tcPr>
            <w:tcW w:w="49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
        </w:trPr>
        <w:tc>
          <w:tcPr>
            <w:tcW w:w="494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DBDBDB"/>
          </w:tcPr>
          <w:p>
            <w:pPr>
              <w:ind w:left="1000"/>
              <w:spacing w:after="0" w:line="204" w:lineRule="exact"/>
              <w:rPr>
                <w:sz w:val="20"/>
                <w:szCs w:val="20"/>
                <w:color w:val="auto"/>
              </w:rPr>
            </w:pPr>
            <w:r>
              <w:rPr>
                <w:rFonts w:ascii="Arial" w:cs="Arial" w:eastAsia="Arial" w:hAnsi="Arial"/>
                <w:sz w:val="18"/>
                <w:szCs w:val="18"/>
                <w:color w:val="auto"/>
              </w:rPr>
              <w:t>Net income (loss) and comprehensive income</w:t>
            </w:r>
          </w:p>
        </w:tc>
        <w:tc>
          <w:tcPr>
            <w:tcW w:w="320" w:type="dxa"/>
            <w:vAlign w:val="bottom"/>
            <w:vMerge w:val="restart"/>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DBDBDB"/>
          </w:tcPr>
          <w:p>
            <w:pPr>
              <w:spacing w:after="0"/>
              <w:rPr>
                <w:sz w:val="17"/>
                <w:szCs w:val="17"/>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(30,093)</w:t>
            </w:r>
          </w:p>
        </w:tc>
        <w:tc>
          <w:tcPr>
            <w:tcW w:w="80" w:type="dxa"/>
            <w:vAlign w:val="bottom"/>
            <w:shd w:val="clear" w:color="auto" w:fill="DBDBDB"/>
          </w:tcPr>
          <w:p>
            <w:pPr>
              <w:spacing w:after="0"/>
              <w:rPr>
                <w:sz w:val="17"/>
                <w:szCs w:val="17"/>
                <w:color w:val="auto"/>
              </w:rPr>
            </w:pP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31,570</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55"/>
        </w:trPr>
        <w:tc>
          <w:tcPr>
            <w:tcW w:w="494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8"/>
                <w:szCs w:val="18"/>
                <w:color w:val="auto"/>
              </w:rPr>
              <w:t>(loss)</w:t>
            </w:r>
          </w:p>
        </w:tc>
        <w:tc>
          <w:tcPr>
            <w:tcW w:w="320" w:type="dxa"/>
            <w:vAlign w:val="bottom"/>
            <w:tcBorders>
              <w:bottom w:val="single" w:sz="8" w:color="auto"/>
            </w:tcBorders>
            <w:vMerge w:val="continue"/>
            <w:shd w:val="clear" w:color="auto" w:fill="DBDBDB"/>
          </w:tcPr>
          <w:p>
            <w:pPr>
              <w:spacing w:after="0"/>
              <w:rPr>
                <w:sz w:val="22"/>
                <w:szCs w:val="22"/>
                <w:color w:val="auto"/>
              </w:rPr>
            </w:pPr>
          </w:p>
        </w:tc>
        <w:tc>
          <w:tcPr>
            <w:tcW w:w="1140" w:type="dxa"/>
            <w:vAlign w:val="bottom"/>
            <w:tcBorders>
              <w:bottom w:val="single" w:sz="8" w:color="auto"/>
            </w:tcBorders>
            <w:vMerge w:val="continue"/>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40" w:type="dxa"/>
            <w:vAlign w:val="bottom"/>
            <w:tcBorders>
              <w:bottom w:val="single" w:sz="8" w:color="auto"/>
            </w:tcBorders>
            <w:vMerge w:val="continue"/>
            <w:shd w:val="clear" w:color="auto" w:fill="DBDBDB"/>
          </w:tcPr>
          <w:p>
            <w:pPr>
              <w:spacing w:after="0"/>
              <w:rPr>
                <w:sz w:val="22"/>
                <w:szCs w:val="22"/>
                <w:color w:val="auto"/>
              </w:rPr>
            </w:pPr>
          </w:p>
        </w:tc>
        <w:tc>
          <w:tcPr>
            <w:tcW w:w="1240" w:type="dxa"/>
            <w:vAlign w:val="bottom"/>
            <w:tcBorders>
              <w:bottom w:val="single" w:sz="8" w:color="auto"/>
            </w:tcBorders>
            <w:vMerge w:val="continue"/>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vMerge w:val="continue"/>
            <w:shd w:val="clear" w:color="auto" w:fill="DBDBDB"/>
          </w:tcPr>
          <w:p>
            <w:pPr>
              <w:spacing w:after="0"/>
              <w:rPr>
                <w:sz w:val="22"/>
                <w:szCs w:val="22"/>
                <w:color w:val="auto"/>
              </w:rPr>
            </w:pPr>
          </w:p>
        </w:tc>
        <w:tc>
          <w:tcPr>
            <w:tcW w:w="1220" w:type="dxa"/>
            <w:vAlign w:val="bottom"/>
            <w:tcBorders>
              <w:bottom w:val="single" w:sz="8" w:color="auto"/>
            </w:tcBorders>
            <w:vMerge w:val="continue"/>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40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vMerge w:val="continue"/>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$101.6 million, or 95%, for the nine months ended September 30, 2025 compared to the nine months ended</w:t>
      </w:r>
    </w:p>
    <w:p>
      <w:pPr>
        <w:spacing w:after="0" w:line="1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September 30, 2024. This increase was driven primarily by a 52% increase in the total volume of delivered and billable tests to approximately 440,500 for the nine months ended September 30, 2025 from approximately 289,900 for the nine months ended September 30, 2024. The increase in revenue was also attributable to an increase in our Overall ASP of 30%.</w:t>
      </w:r>
    </w:p>
    <w:p>
      <w:pPr>
        <w:spacing w:after="0" w:line="20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derive our revenue primarily from the number of tests processed and results delivered to the ordering physician. All tests processed are accessioned in our laboratories.</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increase in test volume was driven by higher volumes of our prenatal tests primarily as a result of expansion of our sales force for our prenatal products. In addition, volumes for both our Northstar Select and Northstar Response oncology tests increased as a result of expansion of our oncology sales force. The increase in our ASP per test was driven by several factors. Over the last 12 months we increased the number of contracts we have with payors for our prenatal tests which drove increases in ASP in the first nine months of 2025 compared to the same period in the prior year. In addition, during the second half of 2024 we began to benefit from a new proprietary PLA code for our prenatal tests, as when utilized the new PLA code is typically reimbursed at a higher rate than the codes for which we previously billed; this contributed to an increase in ASPs during the first nine months of 2025. We also benefited from an increased attachment and ordering rate of 22q11.2 micro deletion testing (our 22q test) along with our aneuploidy test and the resulting incremental reimbursement, and coverage of our RhD test from more payors. Furthermore, our ASPs for our Northstar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Select oncology test increased as Medicare began to reimburse for this test during the first quarter of 2025, and we began to bill for our Northstar Response oncology test for the first time at the beginning of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$16.9 million, or 32%, for the nine months ended September 30, 2025 compared to the nine months ended</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September 30, 2024. The increase was primarily due to an increase of $ 8.8 million in expenses associated with testing samples and supplies used in processing tests, phlebotomy, and related shipping costs, driven by a higher volume of tests processed; and an increase of $7.8</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million in labor and consulting related expenses, including stock-based compensation, which were driven by higher test volumes and an increase in product support.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Gross profit increased $84.7 million, or 153%, for the nine months ended September 30, 2025 compared to the nine months ended September 30, 2024. The increase was primarily due to an increase in tests processed and a higher ASP in conjunction with a lower cost per test as we continued to actively reduce variable expenses and increase efficiency from our fixed costs.</w:t>
      </w:r>
    </w:p>
    <w:p>
      <w:pPr>
        <w:spacing w:after="0" w:line="1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Gross margin increased from 51% for the nine months ended September 30, 2024 to 67% for the nine months ended September 30, 2025 for the reasons described above.</w:t>
      </w:r>
    </w:p>
    <w:p>
      <w:pPr>
        <w:spacing w:after="0" w:line="194"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The increase in our Overall ASP contributed to approximately 80% of the improvement of our gross margin for the nine months ended September 30, 2025 as compared to the nine months ended September 30, 2024. Decreases in Overall Cost Per Test contributed to approximately 20% of the improvement in gross margin for the nine months ended September 30, 2025.</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For the nine months ended September 30, 2025, our cost of goods sold consisted of 56% of variable costs and 44% of fixed costs and for the nine months ended September 30, 2024 our cost of goods sold consisted of 55% of variable costs and 45% of fixed costs. The increase in variable costs during the period is attributable primarily to an increase in test volume from prenatal testing, partially offset by efficiencies gained in in our lab from the increased test volume in both prenatal and oncology testing.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Research and development expenses increased $ 9.5 million, or 37%, for the nine months ended September 30, 2025 compared to the nine months ended September 30, 2024. The increase was primarily due to a $7.3 million increase in personnel costs which includes $0.8 million in stock-based compensation expense and a $2.7 million increase in materials, equipment expenses and overhead allocations. These amounts were partially offset by a $ 0.5 million decrease in clinical studies expense. The increase in research and development expenses was primarily driven by an increase in average research and development headcount of 31 employees during the periods presented to support our product development and innovation efforts.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Selling, general and administrative expenses increased $34.0 million, or 52%, for the nine months ended September 30, 2025 compared to the nine months ended September 30, 2024. The increase was primarily due to a $26.7 million increase in salaries, commissions and related</w:t>
      </w:r>
    </w:p>
    <w:p>
      <w:pPr>
        <w:spacing w:after="0" w:line="226" w:lineRule="auto"/>
        <w:rPr>
          <w:sz w:val="20"/>
          <w:szCs w:val="20"/>
          <w:color w:val="auto"/>
        </w:rPr>
      </w:pPr>
      <w:r>
        <w:rPr>
          <w:rFonts w:ascii="Arial" w:cs="Arial" w:eastAsia="Arial" w:hAnsi="Arial"/>
          <w:sz w:val="18"/>
          <w:szCs w:val="18"/>
          <w:color w:val="auto"/>
        </w:rPr>
        <w:t>expenditure which includes $2.3 million in stock-based compensation expense, a $4.0 million increase in facilities and other costs, and a $3.1 million increase in professional and consulting fees. The increase in selling, general and administrative expenses was driven by an increase</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average selling, general and administrative headcount of 101 employees during the periods presented to support our sales, marketing and other corporate strategies.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3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Interest income increased by $0.3 million, or 8%, for the nine months ended September 30, 2025 compared to the nine months ended September 30, 2024. The increase was due to higher average balances of cash and cash equivalents.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Interest expense decreased $2.2 million, or 96%, for the nine months ended September 30, 2025 compared to the nine months ended September 30, 2024. The decrease is attributable to the payoff of the Western Alliance Bank debt; the principal on this debt was no longer outstanding during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gain on extinguishment of debt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Net (loss) gain on extinguishment of debt was $7.3 million for the nine months ended September 30, 2024. This was due to an $8.6 million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gain on extinguishment of the 2022 Convertible Notes due to a modification of the class of preferred stock into which the 2022 Convertible Notes ultimately converted in May 2024. This amount was partially offset by a $1.3 million loss on extinguishment of the Western Alliance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Bank debt in August 2024. We did not record an extinguishment of debt during the nine months ended September 30, 2025.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term loan</w:t>
      </w:r>
    </w:p>
    <w:p>
      <w:pPr>
        <w:spacing w:after="0" w:line="23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Change in fair value of term loan increased $4.8 million, or 208% for the nine months ended September 30, 2025 compared to the nine months ended September 30, 2024. The increase was due to interest expense of $2.9 million, which includes revenue participation and a change in fair value of the Oberland Capital debt of $1.9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Change in fair value of convertible notes decreased $0.8 million for the nine months ended September 30, 2025 compared to the nine months ended September 30, 2024. The decrease was due to a change in fair value of the 2022 Convertible Notes that were extinguished in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Other expense, net increased $ 1.0 million, or 159%, for the nine months ended September 30, 2025 compared to the nine months ended September 30, 2024 which was due to the following events, each of which increased the value of our common stock warrants: a higher probability that an IPO would occur, a reduced timeline until the IPO, and increase in valuation of our public peer companies during the nine months ending September 30,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certain non-GAAP financial measures to supplement our financial statements, which are presented in accordance with GAAP. These non-GAAP financial measures include EBITDA, Adjusted EBITDA, non-GAAP operating income (loss), and non-GAAP net income (loss). We use these non-GAAP financial measures for financial and operational decision-making and as a means to assist us in evaluating period-to-period comparisons. By excluding the impact of certain items that we believe do not directly reflect our underlying operations, we are of the opinion that EBITDA, Adjusted EBITDA, non-GAAP operating income (loss) and non-GAAP net income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w:t>
      </w:r>
    </w:p>
    <w:p>
      <w:pPr>
        <w:spacing w:after="0" w:line="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25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We define EBITDA as net income (loss) adjusted for income taxes, interest income, interest expense, and depreciation and amortization expense. A reconciliation of net income (loss), the most directly comparable GAAP financial measure, to EBITDA is presented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50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(4,148)</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5,241</w:t>
            </w:r>
          </w:p>
        </w:tc>
      </w:tr>
      <w:tr>
        <w:trPr>
          <w:trHeight w:val="241"/>
        </w:trPr>
        <w:tc>
          <w:tcPr>
            <w:tcW w:w="5020" w:type="dxa"/>
            <w:vAlign w:val="bottom"/>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(26,656)</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net gain on extinguishment of debt; change in fair value of term loan; and change in value of convertible notes. A reconciliation of net income (loss), the most directly comparable GAAP financial measure, to Adjusted EBITDA is presented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50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(4,148)</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5,241</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(gain) loss on extinguishment of debt</w:t>
            </w: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(7,289)</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Decrease in fair value of term loan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Decrease in fair value of convertible notes</w:t>
            </w: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835</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(24,772)</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(loss) from operations</w:t>
      </w:r>
    </w:p>
    <w:p>
      <w:pPr>
        <w:spacing w:after="0" w:line="14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define non-GAAP operating income (loss) as operating income (loss) presented in accordance with GAAP, adjusted to exclude stock-based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reconciliation of income (loss) from operations, the most directly comparable GAAP financial measure, to non-GAAP income (loss) from operations is presented below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50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(35,454)</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41"/>
        </w:trPr>
        <w:tc>
          <w:tcPr>
            <w:tcW w:w="50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Non-GAAP income (loss) from operations</w:t>
            </w: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tcBorders>
              <w:top w:val="single" w:sz="8" w:color="DBDBDB"/>
            </w:tcBorders>
            <w:shd w:val="clear" w:color="auto" w:fill="DBDBDB"/>
          </w:tcPr>
          <w:p>
            <w:pPr>
              <w:spacing w:after="0"/>
              <w:rPr>
                <w:sz w:val="20"/>
                <w:szCs w:val="20"/>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Borders>
              <w:top w:val="single" w:sz="8" w:color="DBDBDB"/>
            </w:tcBorders>
            <w:shd w:val="clear" w:color="auto" w:fill="DBDBDB"/>
          </w:tcPr>
          <w:p>
            <w:pPr>
              <w:spacing w:after="0"/>
              <w:rPr>
                <w:sz w:val="20"/>
                <w:szCs w:val="20"/>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Borders>
              <w:top w:val="single" w:sz="8" w:color="DBDBDB"/>
            </w:tcBorders>
            <w:shd w:val="clear" w:color="auto" w:fill="DBDBDB"/>
          </w:tcPr>
          <w:p>
            <w:pPr>
              <w:spacing w:after="0"/>
              <w:rPr>
                <w:sz w:val="20"/>
                <w:szCs w:val="20"/>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(29,399)</w:t>
            </w:r>
          </w:p>
        </w:tc>
      </w:tr>
      <w:tr>
        <w:trPr>
          <w:trHeight w:val="23"/>
        </w:trPr>
        <w:tc>
          <w:tcPr>
            <w:tcW w:w="5020" w:type="dxa"/>
            <w:vAlign w:val="bottom"/>
            <w:shd w:val="clear" w:color="auto" w:fill="E5E5E5"/>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monitor non-GAAP net income (loss) for planning and performance measurement purposes. We define non-GAAP net income (loss) as net income (loss) reported on our statements of operations, excluding the impact of stock-based compensation expenses, net gain or loss on extinguishment of debt, change in fair value of the term loan, and change in fair value of convertible notes. We exclude fair value adjustments related to debt, which can fluctuate significantly and do not directly reflect our underlying operations. Our calculation of non-GAAP net income (loss) does not currently include the tax effects of the stock-based compensation expense adjustment because such tax effects have not been material to date.</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 reconciliation of net income (loss), the most directly comparable GAAP financial measure, to non-GAAP net income (loss) is presented below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50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5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(30,093)</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(gain) loss on extinguishment of debt</w:t>
            </w: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(7,289)</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Decrease in fair value of term loan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Decrease in fair value of convertible notes</w:t>
            </w: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835</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(28,209)</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Since our inception, prior to our IPO, we have financed our operations primarily through the issuance of convertible notes, redeemable convertible preferred stock, debt, and cash generated from the sale of our products. As of September 30, 2025, our principal sources of liquidity were cash and cash equivalents of $195.2 million and working capital of $210.9 million. On November 7, 2025, we closed our IPO of our Class A common stock. The total net proceeds received were approximately $286.4 million after deducting underwriting discounts, commissions and offering expenses payable by us. Cash and cash equivalents are comprised of cash held in sweep accounts, checking accounts, lock-box accounts and money market funds. Our principal use of cash is to fund operations and invest in research and development to support our growth.</w:t>
      </w:r>
    </w:p>
    <w:p>
      <w:pPr>
        <w:spacing w:after="0" w:line="1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generated significant losses from operations and negative cash flows from operating activities in the past as reflected in our accumulated deficit of $280.7 million as of September 30, 2025, though we did have positive operating income and positive cashflow in the nine months ended September 30, 2025. We believe our current cash and cash equivalents will be sufficient to fund our operations for at least the next 12 months. Our future capital requirements, however, will depend on many factors, including our growth rate, the timing and 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Oberland Capital note purchase agreement</w:t>
      </w:r>
    </w:p>
    <w:p>
      <w:pPr>
        <w:spacing w:after="0" w:line="13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 debt facility with availability of up to $140.0 million, issuable in four separate tranches, pursuant to a Note Purchase Agreement, dated as of August 2, 2024, by and among us, the purchasers party thereto, and BWCB SA LLC (an entity affiliated with Oberland Capital), as purchaser’s agent. The advanced principal accrues interest at a rate of 8.0% per annum. The first tranche of $50.0 million was advanced on August 5, 2024, with a maturity date of August 5, 2031, interest-only payments through August 5, 2031 and a lump sum payment due on</w:t>
      </w:r>
    </w:p>
    <w:p>
      <w:pPr>
        <w:ind w:right="820"/>
        <w:spacing w:after="0" w:line="237" w:lineRule="auto"/>
        <w:rPr>
          <w:sz w:val="20"/>
          <w:szCs w:val="20"/>
          <w:color w:val="auto"/>
        </w:rPr>
      </w:pPr>
      <w:r>
        <w:rPr>
          <w:rFonts w:ascii="Arial" w:cs="Arial" w:eastAsia="Arial" w:hAnsi="Arial"/>
          <w:sz w:val="18"/>
          <w:szCs w:val="18"/>
          <w:color w:val="auto"/>
        </w:rPr>
        <w:t>August 5, 2031. The lump sum payment includes all of the outstanding principal plus a payment that would generate an IRR for the purchasers of 10.0%. The term loan advances are secured by a lien on our assets.</w:t>
      </w:r>
    </w:p>
    <w:p>
      <w:pPr>
        <w:spacing w:after="0" w:line="8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are required to sell a tranche of notes in the amount of $30.0 million prior to March 31, 2026 as we achieved the revenue and gross margin thresholds triggering this obligation on June 30, 2025 based on our results for the first half of 2025. The thresholds triggering this tranche are trailing six-month revenue of at least $112.5 million and a trailing six-month gross margin of at least 45%. The terms of this tranche are identical to those of the first $50.0 million tranche.</w:t>
      </w:r>
    </w:p>
    <w:p>
      <w:pPr>
        <w:spacing w:after="0" w:line="10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the option at any time to prepay all of the then-outstanding notes, and Oberland Capital has the option to redeem the notes upon a change in control of the Company, an event of default, or maturity. The repayment amount of the note shall equal: (1) 130% of the principal amount if the payment is made within 24 months of issuance; (2) 145% of the principal amount if the payment is made within 36 months of issuance; (3) if the payment is made within 48 months, an amount that would generate an internal rate of return (“IRR”) for the purchasers of 12.25%; (4) if the payment is made within 60 months of the issuance, an amount that would generate an IRR for the purchasers of 11.75%;</w:t>
      </w:r>
    </w:p>
    <w:p>
      <w:pPr>
        <w:spacing w:after="0" w:line="3" w:lineRule="exact"/>
        <w:rPr>
          <w:sz w:val="20"/>
          <w:szCs w:val="20"/>
          <w:color w:val="auto"/>
        </w:rPr>
      </w:pPr>
    </w:p>
    <w:p>
      <w:pPr>
        <w:ind w:right="100" w:firstLine="8"/>
        <w:spacing w:after="0" w:line="266"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payment is made thereafter but prior to maturity, an amount that would generate an IRR for the purchasers of 11.25%; and (6) if the payment is made at maturity, an amount that would generate an IRR for the purchasers of 10.0%.</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Beginning with the fiscal quarter ended March 31, 2025, excluding any fiscal quarter in which our aggregate cash and cash equivalents is greater than 1.1 times the aggregate principal amount of the notes issued under the Note Purchase Agreement, we are required to maintain trailing six-month net revenue based on a schedule that gradually increases up to $ 120.0 million after the year ending December 31, 2026, and a trailing six-month gross margin (as defined in the Note Purchase Agreement) of not less than 30%. As of September 30, 2025, we were in compliance with all financial covenants in the agreement. The Note Purchase Agreement also contains a revenue participation provision, under which, for any fiscal quarter, 0.01% of net revenue for such fiscal quarter (up to $ 100.0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in the preceding paragraph. Beginning with the fiscal year beginning January 1, 2025, we are required to make revenue participation payments under the Note Purchase Agreement.</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12"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4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50"/>
        </w:trPr>
        <w:tc>
          <w:tcPr>
            <w:tcW w:w="81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13,803</w:t>
            </w:r>
          </w:p>
        </w:tc>
        <w:tc>
          <w:tcPr>
            <w:tcW w:w="10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(32,952)</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3"/>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(used in) provided by financing activities</w:t>
            </w:r>
          </w:p>
        </w:tc>
        <w:tc>
          <w:tcPr>
            <w:tcW w:w="34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E5E5E5"/>
            </w:tcBorders>
            <w:shd w:val="clear" w:color="auto" w:fill="E5E5E5"/>
          </w:tcPr>
          <w:p>
            <w:pPr>
              <w:spacing w:after="0"/>
              <w:rPr>
                <w:sz w:val="23"/>
                <w:szCs w:val="23"/>
                <w:color w:val="auto"/>
              </w:rPr>
            </w:pPr>
          </w:p>
        </w:tc>
        <w:tc>
          <w:tcPr>
            <w:tcW w:w="34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141,305</w:t>
            </w:r>
          </w:p>
        </w:tc>
      </w:tr>
      <w:tr>
        <w:trPr>
          <w:trHeight w:val="240"/>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105,025</w:t>
            </w:r>
          </w:p>
        </w:tc>
      </w:tr>
      <w:tr>
        <w:trPr>
          <w:trHeight w:val="23"/>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191,477</w:t>
            </w:r>
          </w:p>
        </w:tc>
        <w:tc>
          <w:tcPr>
            <w:tcW w:w="100" w:type="dxa"/>
            <w:vAlign w:val="bottom"/>
            <w:tcBorders>
              <w:bottom w:val="single" w:sz="8" w:color="E5E5E5"/>
            </w:tcBorders>
            <w:shd w:val="clear" w:color="auto" w:fill="E5E5E5"/>
          </w:tcPr>
          <w:p>
            <w:pPr>
              <w:spacing w:after="0"/>
              <w:rPr>
                <w:sz w:val="23"/>
                <w:szCs w:val="23"/>
                <w:color w:val="auto"/>
              </w:rPr>
            </w:pPr>
          </w:p>
        </w:tc>
        <w:tc>
          <w:tcPr>
            <w:tcW w:w="34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97,268</w:t>
            </w:r>
          </w:p>
        </w:tc>
      </w:tr>
      <w:tr>
        <w:trPr>
          <w:trHeight w:val="240"/>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202,293</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Cash provided by operating activities during the nine months ended September 30, 2025 was $13.8 million. Net income of $1.5 million includes $23.6 million in non-cash charges primarily resulting from $9.6 million of stock-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compensation, $5.2 million of depreciation and amortization, $3.7 million of amortization of right-of-use assets, and $4.9 million change in fair value of the common stock warrant liability and term loan. Operating assets had outflows of $20.4 million primarily resulting from a $9.9 million increase in accounts receivable, $8.7 million increase in inventory, $1.7 million increase in prepaid expenses and other current assets, and $0.1 million increase in other non-current assets. Operating liabilities had inflows of $9.1 million primarily resulting from a $12.5 million increase in accounts payable and accrued expense balances, offset by a $3.2 million decrease in operating lease liabilities.</w:t>
      </w:r>
    </w:p>
    <w:p>
      <w:pPr>
        <w:spacing w:after="0" w:line="1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Cash used in operating activities during the nine months ended September 30, 2024 was $33.0 million. Net loss of $30.1 million includes $11.3 million in non-cash charges primarily resulting from $6.1 million of stock-based compensation, $5.2 million of depreciation and amortization, $3.5 million of amortization of right-of-use assets, and $3.0 million change in fair value of the common stock warrant liability, term loan and convertible notes, offset by a $7.3 million gain on extinguishment of debt. Operating assets had outflows of $18.4 million primarily resulting from a $13.7 million increase in accounts receivable, $3.1 million increase in other non-current assets, $0.9 million increase in prepaid and other current assets, and $0.6 million increase in inventory. Operating liabilities had inflows of $4.2 million primarily resulting from a $7.1 million increase in accounts payable and accrued expense balances, offset by a $2.8 million decrease in operating lease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Cash used in investing activities during the nine months ended September 30, 2025 totaled $7.3 million due to purchases of property and equipment.</w:t>
      </w:r>
    </w:p>
    <w:p>
      <w:pPr>
        <w:spacing w:after="0" w:line="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Cash used in investing activities during the nine months ended September 30, 2024 totaled $3.3 million due to purchases of property and equipment.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used in financing activities during the nine months ended September 30, 2025 totaled $2.8 million which was comprised of $2.5 million of payments of deferred offering costs, principal payments on finance lease liabilities of $1.4 million, offset by $1.2 million in proceeds from the exercise of stock options, net of repurchases.</w:t>
      </w:r>
    </w:p>
    <w:p>
      <w:pPr>
        <w:spacing w:after="0" w:line="10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Cash provided by financing activities during the nine months ended September 30, 2024 totaled $ 141.3 million which was comprised of $130.0 million of proceeds from issuance of Series D redeemable convertible preferred stock, net of issuance costs, $49.8 million in proceeds from the issuance of debt, net, offset by $36.7 million repayment of debt, exit fee and prepayment payable upon debt upon extinguishment, and $1.8 million principal payments on finance lease liabilities.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Operating lease commitments. </w:t>
      </w:r>
      <w:r>
        <w:rPr>
          <w:rFonts w:ascii="Arial" w:cs="Arial" w:eastAsia="Arial" w:hAnsi="Arial"/>
          <w:sz w:val="18"/>
          <w:szCs w:val="18"/>
          <w:color w:val="auto"/>
        </w:rPr>
        <w:t>Our operating lease commitments primarily include our labs and corporate offices. As of September 30, 2025,</w:t>
      </w:r>
      <w:r>
        <w:rPr>
          <w:rFonts w:ascii="Arial" w:cs="Arial" w:eastAsia="Arial" w:hAnsi="Arial"/>
          <w:sz w:val="18"/>
          <w:szCs w:val="18"/>
          <w:i w:val="1"/>
          <w:iCs w:val="1"/>
          <w:color w:val="auto"/>
        </w:rPr>
        <w:t xml:space="preserve"> </w:t>
      </w:r>
      <w:r>
        <w:rPr>
          <w:rFonts w:ascii="Arial" w:cs="Arial" w:eastAsia="Arial" w:hAnsi="Arial"/>
          <w:sz w:val="18"/>
          <w:szCs w:val="18"/>
          <w:color w:val="auto"/>
        </w:rPr>
        <w:t>we had fixed lease payment obligations of $70.1 million, with $9.1 million to be paid within 12 months and the remainder thereafter.</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auto"/>
        </w:rPr>
        <w:t xml:space="preserve">Finance lease commitments. </w:t>
      </w:r>
      <w:r>
        <w:rPr>
          <w:rFonts w:ascii="Arial" w:cs="Arial" w:eastAsia="Arial" w:hAnsi="Arial"/>
          <w:sz w:val="18"/>
          <w:szCs w:val="18"/>
          <w:color w:val="auto"/>
        </w:rPr>
        <w:t>Our finance lease commitments primarily relate to equipment used in our labs. As of September 30, 2025, we</w:t>
      </w:r>
      <w:r>
        <w:rPr>
          <w:rFonts w:ascii="Arial" w:cs="Arial" w:eastAsia="Arial" w:hAnsi="Arial"/>
          <w:sz w:val="18"/>
          <w:szCs w:val="18"/>
          <w:i w:val="1"/>
          <w:iCs w:val="1"/>
          <w:color w:val="auto"/>
        </w:rPr>
        <w:t xml:space="preserve"> </w:t>
      </w:r>
      <w:r>
        <w:rPr>
          <w:rFonts w:ascii="Arial" w:cs="Arial" w:eastAsia="Arial" w:hAnsi="Arial"/>
          <w:sz w:val="18"/>
          <w:szCs w:val="18"/>
          <w:color w:val="auto"/>
        </w:rPr>
        <w:t>had fixed lease payment obligations of $1.2 million, with $0.7 million to be paid within 12 months and the remainder thereafter.</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prepare our financial statements in conformity with GAAP. The preparation of financial statements in conformity with GAAP required certain estimates and assumptions to be made that may affect our financial statements. Accounting policies that have a significant impact on our results are described in Note 2 to our financial statements included in Item 1 in this Quarterly Report. The accounting policies discussed in this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w:t>
      </w:r>
    </w:p>
    <w:p>
      <w:pPr>
        <w:spacing w:after="0" w:line="9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continue to monitor and assess our critical estimates in light of developments, and as new events occur and additional information is obtained, our estimates may change materially in future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primarily from our prenatal and oncology testing services, which are referred to as testing services or test results. We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consider the patient as our customer, that requests our test service through their physician. Test results are the single performance obligation being provided to customers. Testing service revenue is recognized at a point in time when test results are delivered to the ordering</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physician. We generally bill an insurance carrier, Medicaid or a patient or a combination of both upon delivery of test results. The amount of revenue recognized reflects the consideration we expect to be entitled to receive in exchange for the test results.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recognize revenue upon transfer of control of promised goods and services in an amount that reflects the consideration we expect to be entitled to receive in exchange for those goods and services. Under ASC 606, Revenue from Contracts with Customers (ASC 606),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recognize revenue applying estimated consideration to be received for the performance obligations delivered to customers and their representatives. In accordance with ASC 606, we apply the constraint on variable consideration and include such amounts in the transaction price only to the extent that it is probable that a significant reversal of cumulative revenue will not occur when the associated uncertainty is resolved.</w:t>
      </w:r>
    </w:p>
    <w:p>
      <w:pPr>
        <w:jc w:val="both"/>
        <w:ind w:right="260"/>
        <w:spacing w:after="0"/>
        <w:rPr>
          <w:sz w:val="20"/>
          <w:szCs w:val="20"/>
          <w:color w:val="auto"/>
        </w:rPr>
      </w:pPr>
      <w:r>
        <w:rPr>
          <w:rFonts w:ascii="Arial" w:cs="Arial" w:eastAsia="Arial" w:hAnsi="Arial"/>
          <w:sz w:val="17"/>
          <w:szCs w:val="17"/>
          <w:color w:val="auto"/>
        </w:rPr>
        <w:t>We apply the expected value method of estimating variable consideration. The total consideration we expect to collect in exchange for our products is an estimate and is largely variable in nature. Consideration includes reimbursement from both patients and insurance carriers.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establish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We also consider hindsight, where applicable, in estimates established for variable consideration and update those estimates when actual experience supports doing so. In establishing variable consideration, we consider payors with similar reimbursement characteristics together. We monitor cash collections against the estimated variable consideration over the expected cash collection period and any difference is recognized as an adjustment to estimated revenues after such estimated cash collection period has closed.</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enter into contracts with third-party payors including insurance carriers and Medicaid to set the pricing for tests provided to patients. Due to the nature of these third-party payor contract arrangements, the total consideration we expect to collect for test results is variable as they are dependent on the terms negotiated with the third-party payor. The predominance of our revenue is derived from payments by third-party</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insurance carriers. Additionally, we entered into an agreement with Johnson &amp; Johnson in 2023 to utilize our testing capabilities as part of a project to perform a clinical trial. This arrangement involved the performance of testing and related regulatory consulting services. Revenue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for this contract is primarily recognized proportionally as services are performed. Revenue derived from this contract is not material to our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measure stock-based compensation expense for all stock-based payment awards based on the estimated fair value of the awards on the date of grant. The fair value of each stock option granted is estimated using the Black-Scholes Model. The model requires us to make assumptions and judgments about the variable inputs used in the Black-Scholes Model, including expected term, the volatility of our common stock, and assumed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risk-free interest rate. Stock-based compensation is recognized net of actual forfeitures on a straight-line basis over the requisite service period of the awards. We account for forfeitures as they occur.</w:t>
      </w:r>
    </w:p>
    <w:p>
      <w:pPr>
        <w:spacing w:after="0" w:line="8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have granted awards to employees that vest based on continued service (service conditions). Stock-based compensation expense is recognized on a straight-line basis over the service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until our IPO in November 2025,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w:t>
      </w:r>
    </w:p>
    <w:p>
      <w:pPr>
        <w:spacing w:after="0" w:line="5"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contemporaneous valuations performed at periodic intervals by a third-party valuation firm;</w:t>
      </w:r>
    </w:p>
    <w:p>
      <w:pPr>
        <w:spacing w:after="0" w:line="139"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of our redeemable convertible preferred stock and common stock sold to investors in arms-length transactions;</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actual operating and financial performance and estimated trends and prospects for our future performance;</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57" w:lineRule="exact"/>
        <w:rPr>
          <w:rFonts w:ascii="Arial" w:cs="Arial" w:eastAsia="Arial" w:hAnsi="Arial"/>
          <w:sz w:val="18"/>
          <w:szCs w:val="18"/>
          <w:color w:val="auto"/>
        </w:rPr>
      </w:pPr>
    </w:p>
    <w:p>
      <w:pPr>
        <w:ind w:left="500" w:right="480" w:hanging="492"/>
        <w:spacing w:after="0" w:line="287"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direct listing, or sale of our company, given prevailing market conditions;</w:t>
      </w:r>
    </w:p>
    <w:p>
      <w:pPr>
        <w:spacing w:after="0" w:line="71"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marketability involving securities in a private company;</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the common stock. The OPM is based on the Black-Scholes-Merton option valuation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occurred among unrelated parties, and whether the transaction involved investors with access to our financial information.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financial statements for more information regarding recently issued accounting pronouncements.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until the earlier of the date we (i) qualify for treatment as an emerging growth company or (ii) affirmatively and irrevocably opt out of the extended transition period provided for 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Quantitative And Qualitative Disclosures About Market Risk</w:t>
      </w:r>
    </w:p>
    <w:p>
      <w:pPr>
        <w:spacing w:after="0" w:line="3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inflation and foreign currency exchange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changes in interest rates. We had cash and cash equivalents of $97.3 million, $191.5 million and</w:t>
      </w:r>
    </w:p>
    <w:p>
      <w:pPr>
        <w:ind w:right="380"/>
        <w:spacing w:after="0"/>
        <w:rPr>
          <w:sz w:val="20"/>
          <w:szCs w:val="20"/>
          <w:color w:val="auto"/>
        </w:rPr>
      </w:pPr>
      <w:r>
        <w:rPr>
          <w:rFonts w:ascii="Arial" w:cs="Arial" w:eastAsia="Arial" w:hAnsi="Arial"/>
          <w:sz w:val="17"/>
          <w:szCs w:val="17"/>
          <w:color w:val="auto"/>
        </w:rPr>
        <w:t>$195.2 million as of December 31, 2023 and 2024 and September 30, 2025, respectively. Our cash and cash equivalents consist of cash held in sweep accounts, checking accounts, and lock-box accounts. The cash and cash equivalents are primarily for working capital</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purposes. Such interest earning instruments carry a degree of interest rate risk. Our financing arrangement with Western Alliance Bank subjected us to variable amount of interest on the principal balance outstanding, the debt was extinguished in 2024. Our debt facility with Oberland Capital is at a fixed rate of interest. The effect of a hypothetical 10% change in interest rates would not have had a material impact on our financial statements for the years ended December 31, 2023 and 2024 or the nine months ended September 30,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inflation rates may also negatively affect demand for our product offerings, and our ability to raise capital and cashflow. Our inability or failure to fully offset any such higher costs could harm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operations are currently conducted almost entirely in the United States as international markets contribute less than 1% of our revenue. If we choose to expand internationally, our results of operations and cash flows may become subject to fluctuations due to changes in foreign currency exchange rates. In periods when the U.S. dollar declines in value as compared to the foreign currencies in which we incur expenses, our foreign currency-based expenses will increase when translated into U.S. dollars. In addition, future fluctuations in the value of U.S. dollar may affect the price at which we sell our tests outside the United States. To date, our foreign currency risk has been minimal.</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3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Executive Officer and Chief Financial Officer have concluded that these disclosure controls and procedures were not effective at the reasonable assurance level as of September 30, 2025 due to the material weaknesses in our internal control over financial reporting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w:t>
      </w:r>
    </w:p>
    <w:p>
      <w:pPr>
        <w:spacing w:after="0" w:line="221"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Notwithstanding the material weakness in our internal controls over financial reporting as of September 30, 2025, management has concluded that the financial statements included in this Form 10-Q present fairly, in all material respects, our financial position, results of operations and cash flows for the periods presented in conformity with accounting principles generally accepted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Reported Material Weaknesses in Internal Control over Financial Reporting</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management previously determined that we did not design and maintain an effective control environment commensurate with our financial reporting requirements. Specifically, we lack a sufficient complement of resources with the appropriate knowledge, experience, and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training to appropriately analyze, record and disclose accounting matters commensurate with our accounting and reporting requirements. Additionally, the lack of sufficient resources resulted in an inability to consistently establish appropriate segregation of duties in our finance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accounting functions. This material weakness contributed to the following additional material weaknesses:</w:t>
      </w:r>
    </w:p>
    <w:p>
      <w:pPr>
        <w:spacing w:after="0" w:line="261" w:lineRule="exact"/>
        <w:rPr>
          <w:sz w:val="20"/>
          <w:szCs w:val="20"/>
          <w:color w:val="auto"/>
        </w:rPr>
      </w:pPr>
    </w:p>
    <w:p>
      <w:pPr>
        <w:ind w:left="660" w:right="60" w:hanging="328"/>
        <w:spacing w:after="0" w:line="22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 These material weaknesses resulted in immaterial adjustments to the financial statements. Additionally, these material weaknesses could result in a misstatement of account balances or disclosures that would result in a material misstatement to the annual or interim financial statements that would not be prevented or detected.</w:t>
      </w:r>
    </w:p>
    <w:p>
      <w:pPr>
        <w:spacing w:after="0" w:line="1" w:lineRule="exact"/>
        <w:rPr>
          <w:rFonts w:ascii="Arial" w:cs="Arial" w:eastAsia="Arial" w:hAnsi="Arial"/>
          <w:sz w:val="22"/>
          <w:szCs w:val="22"/>
          <w:color w:val="auto"/>
        </w:rPr>
      </w:pPr>
    </w:p>
    <w:p>
      <w:pPr>
        <w:ind w:left="660" w:right="4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did not design and maintain user access controls to ensure appropriate segregation of duties and to adequately restrict user and privileged access to appropriate personnel in creating and posting journal entries. This material weakness did not result in a misstatement to the financial statements; however, it</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color w:val="auto"/>
        </w:rPr>
        <w:t>could result in a misstatement of account balances or disclosures that would result in a material misstatement to the annual or interim financial statements that would not be prevented or detected.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2025, we continued our remediation efforts related to the material weaknesses discussed above.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remediation steps we have taken are ongoing and include the following:</w:t>
      </w:r>
    </w:p>
    <w:p>
      <w:pPr>
        <w:spacing w:after="0" w:line="24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consulted with experts on technical accounting matters, internal controls, and in the preparation of our financial statements;</w:t>
      </w:r>
    </w:p>
    <w:p>
      <w:pPr>
        <w:spacing w:after="0" w:line="7"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engaged a third party to assist in evaluating segregation of duties risks and design and implement controls to address those risks;</w:t>
      </w:r>
    </w:p>
    <w:p>
      <w:pPr>
        <w:spacing w:after="0" w:line="8" w:lineRule="exact"/>
        <w:rPr>
          <w:rFonts w:ascii="Times New Roman" w:cs="Times New Roman" w:eastAsia="Times New Roman" w:hAnsi="Times New Roman"/>
          <w:sz w:val="22"/>
          <w:szCs w:val="22"/>
          <w:color w:val="auto"/>
        </w:rPr>
      </w:pPr>
    </w:p>
    <w:p>
      <w:pPr>
        <w:ind w:left="660" w:right="140" w:hanging="328"/>
        <w:spacing w:after="0" w:line="228"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began to design and implement controls related to restricting user and privileged access to appropriate personnel, including as it relates to creating and posting journal entries;</w:t>
      </w:r>
    </w:p>
    <w:p>
      <w:pPr>
        <w:ind w:left="660" w:hanging="328"/>
        <w:spacing w:after="0" w:line="217"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engaged a third party to assist management in evaluating the accounting for financial instruments; and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hired additional accounting, finance, operations, and information technology resources with relevant public company experience.</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implemented, and operational for a sufficient period of time, and management concludes, through testing, that these controls are operating effectively. Accordingly, the material weaknesses were not remediated as of September 30,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(as defined in Rules 13a-15(f) and 15d-15(f) under the Exchange Act) during the period covered by this Quarterly Report on Form 10-Q that has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 Other Information</w:t>
      </w: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Legal Proceedings</w:t>
      </w:r>
    </w:p>
    <w:p>
      <w:pPr>
        <w:spacing w:after="0" w:line="2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are involved in legal claims, regulatory investigations, inquiries, proceedings and other legal matters arising from the normal course of business and typical for our industry. Although no formal legal proceeding has been instituted, from time to time, we receive requests from governmental agencies, or third parties working on their behalf, for documents and information related to our products. 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w:t>
      </w:r>
    </w:p>
    <w:p>
      <w:pPr>
        <w:spacing w:after="0" w:line="10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Litigation or any other legal, regulatory or administrative proceedings, regardless of the outcome, can result in substantial cost and diversion of our resources, including our management’s time and attention, and there can be no assurances that favorable final outcomes will be obtained. For additional information on risks relating to legal proceedings, see the section titled “Risk Factors—Risks Related to Our Business and Strategy—We have been, and in the future may be, involved in legal proceedings, regulatory investigations and inquiries and other legal matters, which may have an adverse effect on our business, financial condition, results of operations and prospects.”</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264"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A description of risks and uncertainties facing our business is set forth below. You should carefully consider the risks described below, as well as the other information in this Quarterly Report on Form 10-Q (“Quarterly Report”), including our financial statements and the related notes and the section titled “Management’s Discussion and Analysis of Financial Condition and Results of Operations” in this Quarterly Report. Additional risks and uncertainties that we are not currently aware of, or that we currently believe are not material, may also adversely affect our business. This Quarterly Report also contains forward-looking statements that involve risks and uncertainties. See the section titled “Special Note Regarding Forward-Looking Statements.” The occurrence of any of the events or developments described below could harm our business, financial condition, results of operations, and growth prospects. In such an event, the price of our securities could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following is a summary of the most significant risks, challenges and uncertainties facing our business. This summary should be read in conjunction with the risk factors described below in this section and should not be considered an exhaustive list or summary of all of the significant or material risks, challenges and uncertainties that we face.</w:t>
      </w:r>
    </w:p>
    <w:p>
      <w:pPr>
        <w:spacing w:after="0" w:line="196" w:lineRule="exact"/>
        <w:rPr>
          <w:sz w:val="20"/>
          <w:szCs w:val="20"/>
          <w:color w:val="auto"/>
        </w:rPr>
      </w:pPr>
    </w:p>
    <w:p>
      <w:pPr>
        <w:ind w:left="660" w:right="120" w:hanging="328"/>
        <w:spacing w:after="0" w:line="24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operating history and rapid growth make it difficult to evaluate our future prospects and the risks and challenges we may encounter.</w:t>
      </w:r>
    </w:p>
    <w:p>
      <w:pPr>
        <w:ind w:left="660" w:hanging="328"/>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primarily generate revenue from sales of our molecular diagnostic tests and we are highly dependent on them for our success.</w:t>
      </w:r>
    </w:p>
    <w:p>
      <w:pPr>
        <w:ind w:left="660" w:right="220"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government and other third-party payors fail to provide coverage and adequate payment for our existing and future tests, our revenue and prospects for profitability will be harmed.</w:t>
      </w:r>
    </w:p>
    <w:p>
      <w:pPr>
        <w:spacing w:after="0" w:line="1" w:lineRule="exact"/>
        <w:rPr>
          <w:rFonts w:ascii="Arial" w:cs="Arial" w:eastAsia="Arial" w:hAnsi="Arial"/>
          <w:sz w:val="18"/>
          <w:szCs w:val="18"/>
          <w:color w:val="auto"/>
        </w:rPr>
      </w:pPr>
    </w:p>
    <w:p>
      <w:pPr>
        <w:ind w:left="660" w:right="80"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revenue may be adversely affected if we are unable to successfully obtain reimbursement from the Medicare program and state Medicaid programs.</w:t>
      </w:r>
    </w:p>
    <w:p>
      <w:pPr>
        <w:spacing w:after="0" w:line="1" w:lineRule="exact"/>
        <w:rPr>
          <w:rFonts w:ascii="Arial" w:cs="Arial" w:eastAsia="Arial" w:hAnsi="Arial"/>
          <w:sz w:val="18"/>
          <w:szCs w:val="18"/>
          <w:color w:val="auto"/>
        </w:rPr>
      </w:pPr>
    </w:p>
    <w:p>
      <w:pPr>
        <w:ind w:left="660" w:right="540" w:hanging="328"/>
        <w:spacing w:after="0" w:line="22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1" w:lineRule="exact"/>
        <w:rPr>
          <w:rFonts w:ascii="Arial" w:cs="Arial" w:eastAsia="Arial" w:hAnsi="Arial"/>
          <w:sz w:val="18"/>
          <w:szCs w:val="18"/>
          <w:color w:val="auto"/>
        </w:rPr>
      </w:pPr>
    </w:p>
    <w:p>
      <w:pPr>
        <w:ind w:left="660" w:right="220"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2"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members of our senior management team or our inability to attract and retain highly skilled scientists, technicians, clinicians, and sales representatives could adversely affect our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320" w:hanging="328"/>
        <w:spacing w:after="0" w:line="24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existing laboratory facilities become damaged or inoperable or we are required to vacate our existing facilities, our ability to perform our tests and pursue our research and development efforts may be jeopardized.</w:t>
      </w:r>
    </w:p>
    <w:p>
      <w:pPr>
        <w:ind w:left="660" w:right="2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tests in development may not be clinically effective or may never achieve significant commercial market acceptance and our test offerings that we have recently launched may not be commercially successful.</w:t>
      </w:r>
    </w:p>
    <w:p>
      <w:pPr>
        <w:spacing w:after="0" w:line="1" w:lineRule="exact"/>
        <w:rPr>
          <w:rFonts w:ascii="Arial" w:cs="Arial" w:eastAsia="Arial" w:hAnsi="Arial"/>
          <w:sz w:val="18"/>
          <w:szCs w:val="18"/>
          <w:color w:val="auto"/>
        </w:rPr>
      </w:pPr>
    </w:p>
    <w:p>
      <w:pPr>
        <w:ind w:left="660" w:right="38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products do not meet the expectations of patients and our customers, our operating results, reputation and business could suffer.</w:t>
      </w:r>
    </w:p>
    <w:p>
      <w:pPr>
        <w:spacing w:after="0" w:line="1" w:lineRule="exact"/>
        <w:rPr>
          <w:rFonts w:ascii="Arial" w:cs="Arial" w:eastAsia="Arial" w:hAnsi="Arial"/>
          <w:sz w:val="18"/>
          <w:szCs w:val="18"/>
          <w:color w:val="auto"/>
        </w:rPr>
      </w:pPr>
    </w:p>
    <w:p>
      <w:pPr>
        <w:ind w:left="660" w:right="480" w:hanging="328"/>
        <w:spacing w:after="0" w:line="22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trade policies, including tariffs, sanctions and trade barriers may adversely affect our business, financial condition, results of operations and prospects.</w:t>
      </w:r>
    </w:p>
    <w:p>
      <w:pPr>
        <w:spacing w:after="0" w:line="1" w:lineRule="exact"/>
        <w:rPr>
          <w:rFonts w:ascii="Arial" w:cs="Arial" w:eastAsia="Arial" w:hAnsi="Arial"/>
          <w:sz w:val="18"/>
          <w:szCs w:val="18"/>
          <w:color w:val="auto"/>
        </w:rPr>
      </w:pPr>
    </w:p>
    <w:p>
      <w:pPr>
        <w:ind w:left="660" w:right="52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development and commercialization involve a lengthy and complex process and we may be unable to develop or commercialize new products on a timely basis or at all.</w:t>
      </w:r>
    </w:p>
    <w:p>
      <w:pPr>
        <w:spacing w:after="0" w:line="1" w:lineRule="exact"/>
        <w:rPr>
          <w:rFonts w:ascii="Arial" w:cs="Arial" w:eastAsia="Arial" w:hAnsi="Arial"/>
          <w:sz w:val="18"/>
          <w:szCs w:val="18"/>
          <w:color w:val="auto"/>
        </w:rPr>
      </w:pPr>
    </w:p>
    <w:p>
      <w:pPr>
        <w:ind w:left="660" w:right="58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been, and in the future may be, involved in legal proceedings, regulatory investigations and inquiries and other legal matters, which may have an adverse effect on our business, financial condition, results of operations and prospects.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inability to effectively protect our proprietary technologies could harm our competitive position.</w:t>
      </w:r>
    </w:p>
    <w:p>
      <w:pPr>
        <w:ind w:left="660" w:right="240" w:hanging="328"/>
        <w:spacing w:after="0"/>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41"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limited operating history and rapid growth make it difficult to evaluate our future prospects and the risks and challenges we may encounter.</w:t>
      </w:r>
    </w:p>
    <w:p>
      <w:pPr>
        <w:spacing w:after="0" w:line="15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were founded in 2016 and received our first commercial test sample in 2019. We have since experienced rapid growth in revenue, headcount, adoption of our products and testing volume. We operate in a highly competitive market characterized by rapid technological advances.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accurately project the future performance of our business.</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intend to continue to expand our overall business, customer base, headcount and operations, and managing our growth will also require significant expenditures and allocation of valuable management resources. Continued growth increases the challenges involved in:</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training and retaining sufficient skilled technical, marketing, sales and management personnel;</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preserving our high performing culture, core values and entrepreneurial environment;</w:t>
      </w:r>
    </w:p>
    <w:p>
      <w:pPr>
        <w:ind w:left="660"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compliance, recordkeeping, communications and other internal systems;</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high levels of satisfaction with our products among our customers;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managing expenses related to any future growth.</w:t>
      </w:r>
    </w:p>
    <w:p>
      <w:pPr>
        <w:spacing w:after="0" w:line="22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have encountered in the past, and will encounter in the future, risks and uncertainties frequently experienced by growing companies with limited operating histories in rapidly changing industries. Our future financial performance and our ability to commercialize our products, to increase our sales and to compete effectively will depend, in part, on our ability to manage our potential future growth effectively, without compromising quality.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generate revenue from sales of our molecular diagnostic tests and we are highly dependent on them for our success.</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ability to execute our growth strategy and become or remain profitable is highly dependent on the continued adoption and use of our molecular diagnostic tests, which are our primary source of revenue. Continued adoption and use of our tests will depend on several factors, including the prices we charge for our tests, the</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scope of coverage and amount of reimbursement available from third-party payors for our tests, the availability of clinical data that supports the value of our tests and the inclusion of our tests in industry treatment guidelines. In addition, many healthcare providers have existing relationships with companies that develop molecular diagnostic tests, including our competitors, and may continue to use their tests instead of ours. If we are unable to achieve or maintain commercial success for our tests, our business, results of operations and financial condition would be materially and adversely affected. We cannot assure that our tests will continue to maintain or gain market acceptance, and any failure to do so would materially harm our business and results of operations.</w:t>
      </w:r>
    </w:p>
    <w:p>
      <w:pPr>
        <w:spacing w:after="0" w:line="2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government and other third-party payors fail to provide coverage and adequate payment for our existing and future tests, our revenue and prospects for profitability will be harmed.</w:t>
      </w:r>
    </w:p>
    <w:p>
      <w:pPr>
        <w:spacing w:after="0" w:line="17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business depends on our ability to obtain and maintain adequate coverage and reimbursement from third-party payors and patients. Reimbursement from third-party payors for our tests represented more than 90% of our revenue for each of the years ended December 31, 2023 and 2024, and we expect government and commercial third-party payors to continue to be our primary source of payments. If we are unable to obtain or maintain coverage or adequate reimbursement from, or achieve in-network status with, third-party payors for our existing or future tests, our ability to generate revenue will be limited. For example, physicians may be reluctant to order our tests due to the potential of a substantial out-of-pocket cost to the patient if reimbursement coverage is unavailable or insufficient.</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insurance landscape, particularly for molecular diagnostics, is continually changing and our efforts to broaden reimbursement for our tests with third-party payors may not be successful. Third parties, such as commercial health insurers and government programs, from whom we have received reimbursement may withdraw coverage or decrease the amount of reimbursement for our tests at any time and for any reason, or may otherwise adopt requirements, programs or policies that may restrict or adversely affect our business. In addition, in some cases, our tests or their uses within certain populations are considered experimental by third-party payors and, as a result, some payors have</w:t>
      </w:r>
    </w:p>
    <w:p>
      <w:pPr>
        <w:spacing w:after="0" w:line="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decided not to cover or reimburse for such tests. Some payors may not load our Proprietary Laboratory Analyses (PLA) codes into their system, necessitating us to bill multiple codes for multiple conditions analyzed in a single panel test, resulting in varied billing practices and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limiting our reimbursement in those situations. Payors may also dispute our billing or coding practices. Based on any of the foregoing, third-party payors may also decide to deny payment or recoup payment for testing that they contend to have been not medically necessary, against their coverage determinations, or for which they have otherwise overpaid, and we may be required to refund reimbursements already received or otherwise bring legal action to defend our position. We deal with demands for overpayment recoupment from third-party payors from time to time in the ordinary course of our business, and it is likely that we will continue to do so in the future. If a third-party payor denies payment for testing, the reimbursement revenue for our testing could decline. If a third-party payor successfully proves that payment for prior testing was in breach of contract or otherwise contrary to law, they may recoup payment or bring legal action to do so, which amounts could be significant and would adversely impact our results of operations, and it may decrease reimbursement going forward. We may also decide to negotiate and settle with a third-party payor in order to resolve an allegation of overpayment.</w:t>
      </w:r>
    </w:p>
    <w:p>
      <w:pPr>
        <w:spacing w:after="0" w:line="208"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In addition, third-party reimbursement for our tests is based on professional society practice guidelines around the tests performed by our products. These guidelines are issued by medical professional societies in the prenatal and oncology clinical areas, such as ACOG for our</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prenatal tests and the National Comprehensive Cancer Network (NCCN) for our oncology tests. While ACOG guidelines generally acknowledge that NIPT is the most sensitive screening option for, and/or are generally supportive of NIPT in, average-risk pregnancies in</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addition to high-risk pregnancies, and NCCN is generally supportive of comprehensive genomic profiling tests, a category that includes Northstar Select, not all of our current tests are covered under practice guidelines, and we cannot predict whether our future tests will be covered by such guidelines. Further, medical professional societies, at times, change their guidelines. 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20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While our primary prenatal tests, such as carrier testing and aneuploidy, have broad guideline support and payor coverage, certain add-ons of our prenatal tests, such as the 22q microdeletion component of UNITY Aneuploidy NIPT or the single-gene NIPT component of our UNITY Fetal Risk Screen, are covered by only a small number of insurance companies, due to more limited, or non-existent, medical guideline support. In oncology, Northstar Select is covered broadly by Medicare, but more narrowly for only certain indications (e.g., lung cancer) by commercial third-party payors. Northstar Response is currently neither covered by Medicare nor by many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18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If a third-party payor denies coverage, it may be difficult for us to collect from the patient. In particular, we are often unable to collect the full amount of a patient’s responsibility where we are an out-of-network provider and the patient is left with a large balance, despite our efforts to collect. As a result, we cannot always collect the full amount due for our tests when third-party payors deny coverage, cover only a portion of the invoiced amount or the patient has a large cost-sharing obligation. We believe that our billing policies and our patient collection practices</w:t>
      </w:r>
    </w:p>
    <w:p>
      <w:pPr>
        <w:ind w:right="180"/>
        <w:spacing w:after="0" w:line="226" w:lineRule="auto"/>
        <w:rPr>
          <w:sz w:val="20"/>
          <w:szCs w:val="20"/>
          <w:color w:val="auto"/>
        </w:rPr>
      </w:pPr>
      <w:r>
        <w:rPr>
          <w:rFonts w:ascii="Arial" w:cs="Arial" w:eastAsia="Arial" w:hAnsi="Arial"/>
          <w:sz w:val="18"/>
          <w:szCs w:val="18"/>
          <w:color w:val="auto"/>
        </w:rPr>
        <w:t>are compliant with applicable laws and reimbursement policies. However, from time to time we receive inquiries from third-party payors regarding our billing policies and collection practices. We address these inquiries as and when they arise, but there is no guarantee that we</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will always be successful in addressing such concerns, which may result in a third-party payor deciding to reimburse for our tests at a lower rate or not at all, seeking recoupment of amounts previously paid to us, or bringing legal action to seek recoupment of previous amounts paid. Any of such occurrences could cause third-party payor revenue for our testing, which represented more than 90% of our revenue for each of the years ended December 31, 2023 and 2024, to decline. Additionally, if we were required to make a repayment, such repayment could be significant, which would adversely impact our results of operations, and we might be required to restate our financials from a prior period, which would likely cause the market price of our Class A common stock to decline. As part of our revenue recognition process, we estimate the expected amount of consideration to be received from our tests using all the information (historical, current and forecasted)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claims or denying payment for tests that we have performed or from</w:t>
      </w:r>
    </w:p>
    <w:p>
      <w:pPr>
        <w:spacing w:after="0" w:line="6"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changes in the estimated transaction price due to contractual adjustments, obtaining updated information from payors and patients that was unknown at the time the performance obligation was met and settlements with third-party payors. While we believe our revenue recognition</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 for tests performed in prior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Given the efforts to control and reduce healthcare costs, in the United States and internationally, available levels of reimbursement may change for our current and future products, if authorized for marketing. Third-party reimbursement and coverage may not be available or adequate in either the United States or international markets, which may reduce the demand for our products or our ability to sell our products on a profitable basis. Additionally, the U.S. government may propose and pass legislation designed to reduce the cost of healthcare. We expect that there will continue to be federal and state proposals to implement governmental controls or impose healthcare requirements. In addition, the Medicare and Medicaid programs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2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Our revenue may be adversely affected if we are unable to successfully obtain reimbursement from the Medicare program and state Medicaid programs.</w:t>
      </w:r>
    </w:p>
    <w:p>
      <w:pPr>
        <w:spacing w:after="0" w:line="17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Centers for Medicare &amp; Medicaid Services (CMS) plays a crucial role in determining reimbursement rates for all Current Procedural Terminology (CPT) codes, which are vital for billing and payment for our tests. Annually, CMS publishes these rates in the Clinical Laboratory Fee Schedule (CLFS), providing a comprehensive guideline for laboratories and healthcare providers. If CMS decides to alter the reimbursement rates for the CPT codes associated with the company’s tests, it could have an adverse effect on our revenues. Any such changes could impact not only Medicare coverage but also the reimbursement landscape from Medicaid programs and commercial third-party payors because many private insurance companies and state Medicaid plans establish their payment rates as a percentage of the amounts that Medicare allocates for the same CPT codes. Consequently, any modifications in CMS’s reimbursement structure could lead to reduced coverage or lower reimbursement rates for our tests.</w:t>
      </w:r>
    </w:p>
    <w:p>
      <w:pPr>
        <w:spacing w:after="0" w:line="20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Protecting Access to Medicare Act of 2014 (PAMA) introduced a multi-year pricing program and new payment methodology to calculate the rates for tests listed under the CLFS that are reimbursable by Medicare Part B. Under PAMA, services payable by Medicare under the</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CLFS are adjusted based on negotiated payment rates paid by private payors for the same test reported by an “applicable laboratory” to CMS. However,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PAMA reporting requirements were suspended in 2021 and have continued to be delayed, most recently until 2026, which in turn has not resulted in rate reductions under the Medicare Part B CLFS. Accordingly, any decrease in the reimbursement we receive under the CLFS due to PAMA in the future may negatively impact our revenue when the PAMA rates are implemented. In addition, federal budgetary limitations and changes in healthcare policy, such as the creation of broad limits for our tests and requirements that beneficiaries of federal health care programs pay for, or pay for higher portions of, clinical laboratory tests or services received, could substantially diminish the utilization of our tests, increase costs and adversely affect our ability to generate revenue and achieve profitability.</w:t>
      </w:r>
    </w:p>
    <w:p>
      <w:pPr>
        <w:spacing w:after="0" w:line="206"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It is estimated that nearly half of all births in the United States are to state Medicaid program beneficiaries. Each state’s Medicaid program has its own coverage determinations related to our testing, and several state Medicaid programs do not provide coverage for our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testing</w:t>
      </w:r>
      <w:r>
        <w:rPr>
          <w:rFonts w:ascii="Arial" w:cs="Arial" w:eastAsia="Arial" w:hAnsi="Arial"/>
          <w:sz w:val="23"/>
          <w:szCs w:val="23"/>
          <w:color w:val="auto"/>
          <w:vertAlign w:val="superscript"/>
        </w:rPr>
        <w:t>5</w:t>
      </w:r>
      <w:r>
        <w:rPr>
          <w:rFonts w:ascii="Arial" w:cs="Arial" w:eastAsia="Arial" w:hAnsi="Arial"/>
          <w:sz w:val="18"/>
          <w:szCs w:val="18"/>
          <w:color w:val="auto"/>
        </w:rPr>
        <w:t>.Even if our testing is covered by a state Medicaid program, we must be recognized as an enrolled Medicaid provider by the state in which the Medicaid beneficiary receiving the services resides in order for us to be reimbursed by a state’s Medicaid program, including under a Medicaid managed care plan. Furthermore, in certain states that have implemented managed care organizations (MCOs) that are typically operated by commercial third-party payors, we may also need to contract with one or more MCOs as a participating network provider for us to be reimbursed for testing services that we provide to a Medicaid beneficiary in such state.</w:t>
      </w:r>
    </w:p>
    <w:p>
      <w:pPr>
        <w:spacing w:after="0" w:line="20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Union City laboratory, where our prenatal tests are processed, is currently enrolled as a Medicaid provider in over 40 states. However, even if we are recognized as a Medicaid provider in a state, the Medicaid reimbursement amounts are sometimes as low, or lower, than the Medicare reimbursement rate. In addition, from time to time we receive requests from state Medicaid programs seeking information or documents to determine eligibility for and the amount of Medicaid reimbursement. As a result of all of these factors, some state Medicaid programs may only reimburse our testing at a low dollar amount, or not at all. Low or zero-dollar Medicaid reimbursement rates for our tests could have an adverse effect on our business and revenue.</w:t>
      </w:r>
    </w:p>
    <w:p>
      <w:pPr>
        <w:spacing w:after="0" w:line="20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17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bill various payors, such as Medicare, Medicaid, health plans, insurance companies and patients, all of which may have different billing requirements. Several factors make the billing process complex, including:</w:t>
      </w:r>
    </w:p>
    <w:p>
      <w:pPr>
        <w:spacing w:after="0" w:line="19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between the list prices for our tests and the reimbursement rates of payors;</w:t>
      </w:r>
    </w:p>
    <w:p>
      <w:pPr>
        <w:spacing w:after="0" w:line="13" w:lineRule="exact"/>
        <w:rPr>
          <w:rFonts w:ascii="Arial" w:cs="Arial" w:eastAsia="Arial" w:hAnsi="Arial"/>
          <w:sz w:val="18"/>
          <w:szCs w:val="18"/>
          <w:color w:val="auto"/>
        </w:rPr>
      </w:pPr>
    </w:p>
    <w:p>
      <w:pPr>
        <w:ind w:left="660" w:right="26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information, pre-authorization and other billing requirements among payors;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 appeals process.</w:t>
      </w:r>
    </w:p>
    <w:p>
      <w:pPr>
        <w:spacing w:after="0" w:line="221"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These billing complexities and the related uncertainty in obtaining payment for our tests could negatively affect our revenue and cash flow, our ability to achieve or maintain profitability and the consistency and comparability of our results of operations. In addition, if claims for our</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tests are not submitted to payors on a timely basis, or if we fail to comply with applicable billing requirements, it could have an adverse effect on our revenue and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coding procedure used by third-party payors to identify various procedures, including our tests, during the billing process is complex, does not adapt well to our tests and may not enable coverage and adequate reimbursement rates. Third-party payors require us to identify the test for which we are seeking reimbursement using a Current Procedural Terminology (CPT) code. CPT coding plays a significant role in how our tests test are reimbursed both from commercial and governmental payors. The CPT code set is maintained by the American Medical Association (AMA). In cases where there is not a specific CPT code to describe a test, the test may be billed under an unlisted molecular pathology procedure code or through the use of a combination of single gene CPT codes, depending on the payor. PAMA authorized the adoption of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459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2" w:lineRule="exact"/>
        <w:rPr>
          <w:sz w:val="20"/>
          <w:szCs w:val="20"/>
          <w:color w:val="auto"/>
        </w:rPr>
      </w:pPr>
    </w:p>
    <w:p>
      <w:pPr>
        <w:jc w:val="both"/>
        <w:ind w:right="80" w:firstLine="8"/>
        <w:spacing w:after="0" w:line="237" w:lineRule="auto"/>
        <w:tabs>
          <w:tab w:leader="none" w:pos="86" w:val="left"/>
        </w:tabs>
        <w:numPr>
          <w:ilvl w:val="0"/>
          <w:numId w:val="20"/>
        </w:numPr>
        <w:rPr>
          <w:rFonts w:ascii="Arial" w:cs="Arial" w:eastAsia="Arial" w:hAnsi="Arial"/>
          <w:sz w:val="18"/>
          <w:szCs w:val="18"/>
          <w:color w:val="auto"/>
          <w:vertAlign w:val="superscript"/>
        </w:rPr>
      </w:pPr>
      <w:r>
        <w:rPr>
          <w:rFonts w:ascii="Arial" w:cs="Arial" w:eastAsia="Arial" w:hAnsi="Arial"/>
          <w:sz w:val="13"/>
          <w:szCs w:val="13"/>
          <w:color w:val="auto"/>
        </w:rPr>
        <w:t>Our carrier screen test is not covered by Alabama, Michigan, or Nevada, and our aneuploidy test is not covered by Nebraska, Nevada or Utah. State Medicaid coverage for our RhD and fetal antigen tests is currently uncommon. Our oncology test are covered at the federal level by Medicare. Medicaid coverage for our oncology tests is less relevant, as the vast majority of cancer patients do not have Medicaid coverage.</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temporary billing codes and unique test identifiers for FDA-cleared or approved tests as well as advanced diagnostic laboratory tests. The AMA has created a new section of CPT codes, Proprietary Laboratory Analyses codes (PLA), to facilitate implementation of this section of PAMA. We received PLA codes for most of our tests in 2024. Because billing third-party payors for our tests is an unpredictable, challenging, time-consuming and costly process, we may face long collection cycles and the risk that we may never collect at all, either of which could adversely affect our business, results of operations and financial condition, and we may have to increase collection efforts and incur additional costs. Additionally, because next generation genomic sequencing is a rapidly evolving area of medicine, and because clinical</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treatment guidelines continue to develop, any changes to, or interpretations of, applicable billing and coding guidance, rules, policies, and procedures may impact our business. There is no guarantee that our retrospective or prospective billing practices will not be challenged or</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reversed, such as by a demand for repayment, recoupment, or prospective billing policies. Any such attempts could adversely affect our results and operations.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18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It is difficult to predict the amounts, if any, we are able to collect for our tests from third-party payors. We are a participating in-network provider with some commercial third-party payors from whom we receive reimbursement for our molecular diagnostic tests. We also provide testing services to patients as a non-participating (out of network) provider. While we have contracts as an in network provider with some payors, we do not have contracts with all payors (out of network) and these payors may determine independently the amount that they are willing to reimburse us for our tests.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Even when payors have paid a claim, they may elect at any time (subject to applicable federal or state law restrictions) to review previously</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paid claims for overpayment against such claims. In the event of an overpayment determination, the payor may offset the amount they determine they overpaid against amounts they owe us on current claims. There is generally a defined process and we have limited leverage</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to dispute these retroactive adjustments and we cannot predict when, or how often, a payor might engage in these reviews. A significant amount of these offsets by one or more payors in any given quarter could have a material effect on our results of operations and cause them to fall below expectations or guidance we may provide.</w:t>
      </w:r>
    </w:p>
    <w:p>
      <w:pPr>
        <w:spacing w:after="0" w:line="20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efforts to become a participating provider of a number of government and commercial third-party payors may not be successful. Even when we have obtained positive coverage decisions for our tests from third party payors and entered into agreements with them, such agreements typically are standard form contracts and may allow payors to terminate coverage on short notice, impose significant obligations on us and create additional regulatory and compliance hurdles for us.</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part of our billing operations, we appeal claim denials from third party payors, and if successful, we receive payments from these appeals. However, due to the inherent variability of the insurance landscape, we cannot guarantee future success of, or any payments from, appeals of claim denials by all payors. Historical success and payments are not indicative of future success of and payments from such appeals. To receive payments from these appeals, we may need to pursue arbitration and/or litigation, either of which would require resources and costs.</w:t>
      </w:r>
    </w:p>
    <w:p>
      <w:pPr>
        <w:spacing w:after="0" w:line="2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Due to the inherent variability and unpredictability of the insurance landscape, including, without limit, the amount that payors reimburse us for any of our tests, we estimate the amount of revenue to be recognized at the time a test is provided and record revenue adjustments if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when the cash subsequently received for a test differs from the revenue recorded for the test. Due to this variability and unpredictability, previously recorded revenue adjustments are not indicative of future revenue adjustments from actual cash collections, which may fluctuate significantly. If this variability and unpredictability results in our revenue or operating results falling below the expectations of analysts or investors or below any guidance we may provide, the market price of our Class A common stock could decline substantially.</w:t>
      </w:r>
    </w:p>
    <w:p>
      <w:pPr>
        <w:spacing w:after="0" w:line="20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The loss of key members of our senior management team or our inability to attract and retain highly skilled scientists, technicians, clinicians, and sales representatives could adversely affect our business.</w:t>
      </w:r>
    </w:p>
    <w:p>
      <w:pPr>
        <w:spacing w:after="0" w:line="16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success depends on the skills, experience and performance of key members of our senior management team, including Oguzhan Atay, our Chief Executive Officer and David Tsao, our Chief Technology Officer (our Co-Founders). The individual and collective efforts of our Co-Founders, as well as other key employees, will be important as we continue to develop our platform and additional products, and as we expand our commercial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activities. The loss or incapacity of either of our Co-Founders or other members of our executive management team could adversely affect our operations if we experience difficulties in hiring qualified successors. Our executive officers are at-will employees and we cannot guarantee their retention for any period of time. We do not maintain “key person” insurance on any of our employees, including our Co-Founders.</w:t>
      </w:r>
    </w:p>
    <w:p>
      <w:pPr>
        <w:spacing w:after="0" w:line="20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Our expected future growth will impose significant added responsibilities on members of management, including the need to identify, recruit, maintain and integrate additional employees. Recruiting and retention difficulties can limit our ability to support our research and</w:t>
      </w:r>
    </w:p>
    <w:p>
      <w:pPr>
        <w:spacing w:after="0" w:line="226" w:lineRule="auto"/>
        <w:rPr>
          <w:sz w:val="20"/>
          <w:szCs w:val="20"/>
          <w:color w:val="auto"/>
        </w:rPr>
      </w:pPr>
      <w:r>
        <w:rPr>
          <w:rFonts w:ascii="Arial" w:cs="Arial" w:eastAsia="Arial" w:hAnsi="Arial"/>
          <w:sz w:val="18"/>
          <w:szCs w:val="18"/>
          <w:color w:val="auto"/>
        </w:rPr>
        <w:t>development and sales programs. All of our employees are at-will, which means that either we or the employee may terminate their employment at any time. Our research and development programs and laboratory operations depend on our ability to attract and retain highly</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skilled scientists and technicians. We may not be able to attract or retain qualified scientists and technicians in the future due to the competition for qualified personnel among life science businesses, particularly near our headquarters in Menlo Park, California. We also face competition from universities and public and private research institutions in recruiting and retaining highly qualified scientific personnel.</w:t>
      </w:r>
    </w:p>
    <w:p>
      <w:pPr>
        <w:spacing w:after="0" w:line="20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we may have difficulties locating, recruiting or retaining qualified sales representatives. We currently sell to clinicians and healthcare providers in the United States through our own sales organization. Each of our target markets is large, distinctive and diverse. As a result, we prefer for our sales representatives to have established prenatal or oncology-focused expertise, as applicable. Competition for such employees within the molecular diagnostics industry is intense and oftentimes such individuals are subject to noncompetition and other employment restrictions by their former employer. We may not be able to attract and retain personnel or be able to build or maintain an efficient and effective sales organization, which could negatively impact sales and market acceptance of our products and limit our revenue growth and potential profitability. In particular, it may be challenging for us to recruit, train and retain sales personnel with oncology testing expertise, as we have relatively limited experience selling our products in this market compared with the prenatal testing market.</w:t>
      </w:r>
    </w:p>
    <w:p>
      <w:pPr>
        <w:spacing w:after="0" w:line="2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our existing laboratory facilities become damaged or inoperable or we are required to vacate our existing facilities, our ability to perform our tests and pursue our research and development efforts may be jeopardized.</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derive nearly all of our revenue from tests performed at our laboratory facility located in Union City, California, with a small percentage of our revenue derived from a second facility in Menlo Park, California. While we expect to open a third laboratory facility in Austin, Texas in 2028, there is no assurance that we will be able to fully operationalize this facility to its capacity in a timely manner or at all. Our facility and equipment could be harmed or rendered inoperable by natural or man-made disasters, including war, fire, earthquake, flood, hurricanes, tornadoes, power loss, communications failure or terrorism, which may render it difficult or impossible for us to perform our tests and may also cause us to lose valuable stored blood samples. The inability to perform our tests or to reduce the backlog that could develop if our facility is inoperable, for even a short period of time, may result in the loss of customers or harm to our reputation, and we may be unable to regain those customers or repair our reputation. It would be difficult, time-consuming and expensive to rebuild our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as by the federal Occupational</w:t>
      </w:r>
    </w:p>
    <w:p>
      <w:pPr>
        <w:spacing w:after="0" w:line="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Safety and Health Administration (OSHA), and certain state analogs. On occasion, certain safety issues may be required to be reported directly to OSHA. If not remediated, these regulatory bodies could intervene and suspend our operations, which could have a material impact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our business.</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carry insurance for damage to our property and disruption of our business, but this insurance may not cover all of the risks associated with damage or disruption to our facility and business, may not provide coverage in amounts sufficient to cover our potential losses and may not continue to be available to us on acceptable terms, if at all.</w:t>
      </w:r>
    </w:p>
    <w:p>
      <w:pPr>
        <w:spacing w:after="0" w:line="19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Our tests in development may not be clinically effective or may never achieve significant commercial market acceptance and our test offerings that we have recently launched may not be commercially successful.</w:t>
      </w:r>
    </w:p>
    <w:p>
      <w:pPr>
        <w:spacing w:after="0" w:line="16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may not succeed in achieving significant commercial market acceptance of our test offerings that we have launched in recent years or are currently developing. Our ability to successfully develop and commercialize our current tests, as well as any future tests that we may develop or acquire, may depend on several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280" w:hanging="328"/>
        <w:spacing w:after="0" w:line="24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convince the medical community and consumers of our tests of their potential advantages over existing tests or other competing products or services;</w:t>
      </w: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market current and future products in new and existing markets;</w:t>
      </w: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collaborate with pharmaceutical companies;</w:t>
      </w:r>
    </w:p>
    <w:p>
      <w:pPr>
        <w:ind w:left="660" w:right="120" w:hanging="328"/>
        <w:spacing w:after="0" w:line="23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agreement by third-party payors to reimburse our tests, the scope and extent of which will affect patients’ willingness or ability to pay for our tests and will likely heavily influence physicians’ decisions to recommend our tests; and/or</w:t>
      </w:r>
    </w:p>
    <w:p>
      <w:pPr>
        <w:spacing w:after="0" w:line="1" w:lineRule="exact"/>
        <w:rPr>
          <w:rFonts w:ascii="Arial" w:cs="Arial" w:eastAsia="Arial" w:hAnsi="Arial"/>
          <w:sz w:val="18"/>
          <w:szCs w:val="18"/>
          <w:color w:val="auto"/>
        </w:rPr>
      </w:pPr>
    </w:p>
    <w:p>
      <w:pPr>
        <w:ind w:left="660" w:right="60" w:hanging="328"/>
        <w:spacing w:after="0" w:line="23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utilize our molecular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20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We may have to spend substantial time and money to overcome obstacles to commercial acceptance of our tests, and our anticipated timeline to launch new test offerings may not occur at the time we expect.</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tests we enhance or develop may not be clinically effective or commercially successful, may not ultimately meet our desired target product profile, or may not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collaborations that may be essential to our clinical development and commercialization efforts. Clinical development requires large numbers of patient specimens and, for certain products, may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 future products may require.</w:t>
      </w:r>
    </w:p>
    <w:p>
      <w:pPr>
        <w:spacing w:after="0" w:line="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ongoing research and development and clinical study activities are subject to extensive regulation and review by numerous governmental authorities both in the United States and abroad. Clinical testing is difficult to design and implement, can take many years, can</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be expensive and carries uncertain outcomes. The results of nonclinical studies and clinical studies of our products conducted to date, and ongoing or future studies of our current, planned or future products may not be predictive of the results of later clinical studies, and interim results of a clinical study do not necessarily predict final results. Clinical studies may produce negative or inconclusive results, and we may decide to conduct additional clinical and nonclinical testing in addition to those we have planned before we are able to launch our products. We may experience delays in our nonclinical studies and clinical studies for a number of reasons, which could adversely affect the costs, timing or successful completion of such studies or trials.</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the publication of clinical data in peer-reviewed journals is an important step in commercializing and obtaining reimbursement for our tests, and our inability to control when, if ever, results are published may delay or limit our ability to derive sufficient revenue from any test that is the subject of a study or trial. Peer-reviewed publications regarding our tests may be limited by many factors, including delays in the completion of, poor design of or lack of compelling data from, nonclinical studies and clinical studies, as well as delays in the review, acceptance and publication process. If our tests or the technology underlying our current or future tests do not receive sufficient favorable</w:t>
      </w:r>
    </w:p>
    <w:p>
      <w:pPr>
        <w:spacing w:after="0" w:line="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exposure in peer-reviewed publications, the rate of clinician adoption of our tests and positive reimbursement coverage determinations for our tests could be negatively affected.</w:t>
      </w:r>
    </w:p>
    <w:p>
      <w:pPr>
        <w:spacing w:after="0" w:line="21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sole or single-source suppliers, for some of our laboratory instruments and materials and may not be able to find replacements or promptly transition to alternative suppliers.</w:t>
      </w:r>
    </w:p>
    <w:p>
      <w:pPr>
        <w:spacing w:after="0" w:line="16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rely on a limited number of suppliers, or, in some cases, sole- or single-source suppliers, for certain sequencers, reagents, blood tubes and other equipment, instruments and materials that we use in our laboratory operations. Any disruption in operations of sole or single-source suppliers or termination or suspension of our relationships with them could materially and adversely impact our supply chain and laboratory operations and thus our ability to conduct our business and generate revenue. An interruption in our laboratory operations could occur if we encounter delays or difficulties in securing such laboratory equipment, instruments or materials, and if we cannot then obtain an acceptable substitute. Any such interruption could significantly and adversely affect our business, financial condition, results of operations and reputation.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we were required to replace a supplier, transitioning to a new supplier would be time-consuming and expensive, may result in interruptions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our laboratory operations, could affect the performance specifications of our laboratory operations or could require that we revalidate our tests. While we have successfully transitioned suppliers in the past and we strive to keep, at least, a three-month inventory of a vast majority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required materials, transitioning suppliers may not always be possible in the future. We estimate replacing suppliers could take approximately one to nine months. If we were to encounter delays or difficulties in securing, reconfiguring or integrating the equipment and reagents we require for our products or in revalidating our products, our business, financial condition, results of operations and reputation could be materially and adversely affected.</w:t>
      </w:r>
    </w:p>
    <w:p>
      <w:pPr>
        <w:spacing w:after="0" w:line="198"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Legislative or regulatory developments such as the BIOSECURE Act, proposed in the 118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but not enacted, or the new iteration of the BIOSECURE Act, known colloquially as BIOSECURE 2.0, that was recently added as an amendment to the National Defense</w:t>
      </w:r>
    </w:p>
    <w:p>
      <w:pPr>
        <w:spacing w:after="0" w:line="1" w:lineRule="exact"/>
        <w:rPr>
          <w:sz w:val="20"/>
          <w:szCs w:val="20"/>
          <w:color w:val="auto"/>
        </w:rPr>
      </w:pPr>
    </w:p>
    <w:p>
      <w:pPr>
        <w:ind w:right="300"/>
        <w:spacing w:after="0" w:line="204" w:lineRule="auto"/>
        <w:rPr>
          <w:sz w:val="20"/>
          <w:szCs w:val="20"/>
          <w:color w:val="auto"/>
        </w:rPr>
      </w:pPr>
      <w:r>
        <w:rPr>
          <w:rFonts w:ascii="Arial" w:cs="Arial" w:eastAsia="Arial" w:hAnsi="Arial"/>
          <w:sz w:val="18"/>
          <w:szCs w:val="18"/>
          <w:color w:val="auto"/>
        </w:rPr>
        <w:t>Authorization Act in the 119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could materially affect our business operations, supply chain, or ability to contract with U.S. government agencies. If a statute akin to the BIOSECURE Act or BIOSECURE 2.0 is enacted, in addition to potential other restrictions on</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our business, it would prohibit federal agencies from contracting with entities that use biotechnology equipment or services from certain foreign entities deemed to be under the control of foreign adversaries.</w:t>
      </w:r>
    </w:p>
    <w:p>
      <w:pPr>
        <w:spacing w:after="0" w:line="19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While we may currently rely, or in the future may rely, on equipment, reagents, or laboratory services from one or more companies that could be designated as “biotechnology companies of concern” under this or similar legislation, we have undertaken and continue to undertake measures to mitigate the risks associated with utilizing material from biotechnology companies of concern. Further, and as a longstanding policy and practice, we utilize robust screening measures to ensure that any genetic data we obtain is protected to the maximum extent under law. If we are unable to verify or restructure our supply chain in compliance with such laws, we could become ineligible for federal contracts, grants, or funding, may be unable to receive reimbursement from Medicaid and Medicare agencies, which provide a substantial percentage of our total revenue, and could face reputational harm, contractual liabilities, or enforcement action.</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Even if legislation akin to the BIOSECURE Act or BIOSECURE 2.0 is not enacted, similar legislative or regulatory initiatives may be adopted, and compliance could require significant operational changes, increased costs, or procurement delays. There can be no assurance that we will not be adversely affected by their implementation.</w:t>
      </w:r>
    </w:p>
    <w:p>
      <w:pPr>
        <w:spacing w:after="0" w:line="184"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may be harmed.</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depends on our ability to quickly and reliably deliver test results to our customers and their patients. We typically receive blood samples for analysis at our laboratory facilities within days of collection from the patient. Disruptions in delivery service, which have occurred in the past and may occur in the future – whether due to error by the courier service, labor disruptions, bad weather, natural disaster, terrorist acts or threats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business, financial condition, results of operations may be adversely affected.</w:t>
      </w:r>
    </w:p>
    <w:p>
      <w:pPr>
        <w:spacing w:after="0" w:line="208"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our products do not meet the expectations of patients and our customers, our operating results, reputation and business could suffer.</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success depends on the market’s confidence that we can provide reliable, high-quality precision prenatal and oncology products that will improve clinical outcomes and lower healthcare costs. We believe that patients, clinicians, healthcare providers and payors are likely to be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particularly sensitive to product defects and errors in the use of our products, including if our products fail to detect clinically relevant information with high accuracy from samples or if we fail to list or inaccurately include certain treatment options and available clinical trials in</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test reports, and there can be no guarantee that our products will meet their expectations. Furthermore, if our competitors’ products do not perform to expectations, it may result in lower confidence in our tests as well. As a result, the failure of our products to perform as expected could significantly impair our operating results and our reputation. In addition, we may be subject to legal claims arising from any defects or errors in our products. Confidence in us, as well as the strength of our brand and reputation, could also be eroded by perceived failures by us or our competitors, even absent any evidence of failure or wrongdoing.</w:t>
      </w:r>
    </w:p>
    <w:p>
      <w:pPr>
        <w:spacing w:after="0" w:line="20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customers or sales,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ordinary course of our business, we and the third parties with whom we work, process, collect, receive, store, process, generate, use, transfer, disclose, make accessible, protect, secure, dispose of, transmit, and share (collectively, process) proprietary, confidential, and sensitive data, including protected health information (PHI) and other personally identifiable information, credit card and other financial information, intellectual property and proprietary business information owned or controlled by us or other parties such as customers and payors. We manage and maintain our applications and data utilizing a combination of on-site systems and cloud-based data centers. We utilize external security and infrastructure vendors to manage parts of our data centers. Our information technology systems store a wide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variety of information critical to our business, including research and development information, patient data, commercial information and business and financial information. We face a number of risks related to protecting this critical information, including loss of access,</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inappropriate use or disclosure, unauthorized access, inappropriate modification and our being unable to adequately monitor, audit or modify our controls over such critical information. This risk extends to the third-party providers, strategic partners and other contractors, subcontractors or consultants we use to manage this sensitive data or otherwise process it on our behalf.</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Cyberattacks, security breaches, computer viruses, malicious internet-based activity, online and offline fraud, ransomware attacks, phishing, structured query language injections, social engineering schemes, distributed denial-of-service attacks, supply chain attacks, malware and other incidents, as well as employee theft or misuse, human error, fraud, denial or degradation of service attacks, unauthorized access or use by persons inside our organization or persons with access to systems inside our organization, and other similar activities threaten the confidentiality, integrity, and availability of our sensitive information and information technology systems, and those of the third parties with whom we work. Misappropriation, exposure, loss or other unauthorized disclosure of confidential data, personal information, materials or information, as well as interruptions, delays or cessation of service often result from these events. Increasingly complex methods have been used in cyberattacks, and the number, intensity and sophistication of attempted attacks and intrusions from around the world have increased</w:t>
      </w:r>
    </w:p>
    <w:p>
      <w:pPr>
        <w:spacing w:after="0" w:line="3"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come from a variety of sources, including traditional computer “hackers,” threat actors, “hacktivists,” organized criminal threat actors, personnel (such as through theft or misuse), sophisticated nation states, and nation-state-supported actors. Because the techniques used to</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w:t>
      </w:r>
    </w:p>
    <w:p>
      <w:pPr>
        <w:spacing w:after="0" w:line="20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costs of attempting to protect against the foregoing risks and responding to a cyberattack are significant. Breaches of our and/or our vendors’ security measures and the unauthorized dissemination of sensitive personal information or proprietary or confidential information about us, our customers or other third-parties, could result in investigations, regulatory enforcement actions, notices to affected individuals, regulators and the media, material fines and penalties, loss of customers, litigation or other actions which could have a material adverse effect on our business, prospects, reputation, results of operations and financial condition. Breaches and incidents also cause operational harm such as by preventing us from performing our laboratory operations, preparing and providing reports to customers, billing payors, processing reimbursement appeals, handling patient or physician inquiries, conducting research and development activities and managing the administrative aspects of our business.</w:t>
      </w:r>
    </w:p>
    <w:p>
      <w:pPr>
        <w:spacing w:after="0" w:line="1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Although we have implemented security measures and an enterprise security program to prevent unauthorized access to our systems, information and patient data, there is no assurance that these measures will be effective.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Our contracts may not contain limitations of liability, and even where they do, there can be no assurance that limitations of liability in our contracts are sufficient to protect us from liabilities, damages, or claims related to our data privacy and security obligations. The ultimate resolution of any such incidents or estimating the amounts or ranges of potential loss, if any, that could result therefrom are highly uncertain. If we cannot successfully resolve a security incident or contain any potential loss, it could materially impact our ability to operate our business as well as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40"/>
        <w:spacing w:after="0" w:line="278"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those of third-parties upon which we rely, our business operations and financial condition could be adversely affected.</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IT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We currently maintain a data center within Amazon Web Services (AWS). In addition, our proprietary QCT technology is a crucial component of our test processing. We</w:t>
      </w:r>
    </w:p>
    <w:p>
      <w:pPr>
        <w:ind w:right="60"/>
        <w:spacing w:after="0"/>
        <w:rPr>
          <w:sz w:val="20"/>
          <w:szCs w:val="20"/>
          <w:color w:val="auto"/>
        </w:rPr>
      </w:pPr>
      <w:r>
        <w:rPr>
          <w:rFonts w:ascii="Arial" w:cs="Arial" w:eastAsia="Arial" w:hAnsi="Arial"/>
          <w:sz w:val="17"/>
          <w:szCs w:val="17"/>
          <w:color w:val="auto"/>
        </w:rPr>
        <w:t>host the significant majority of these algorithms on a cloud-based software platform pursuant to an agreement with AWS. Our bioinformatics platform is hosted on third-party data center hosting facilities operated by AWS. We also host our algorithms on AWS platforms directly. Our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algorithms are currently used to run many of our tests and certain of our research and development activities. In the event of any technical problems that may arise in connection with our on-site data systems, bioinformatics platform or the AWS servers on which the bioinformatics platform is hosted, or the AWS servers that host our data directly, or difficulties in or termination of our relationship with AWS, we could experience interruptions in our laboratory operations, and we may be unable to access our proprietary algorithms and therefore be unable to process tests or conduct any other activities that require access to such algorithms. Disruptions to the IT and communications systems supporting our laboratory and other operations may be caused by a variety of factors, including infrastructure changes, disruptions or shutdowns due to power outages, human or software errors, natural disasters, hardware failures, computer viruses, security attacks, fraud, spikes in customer usage and denial of service issues. Our IT and communication systems, and those of third-parties upon which we rely, also may experience interruptions, delays or cessations of service or produce errors in connection with system implementation, integration, upgrades or system migration work that takes place from time to time. We do not have any backup platform, server or other means to host our algorithms, and may be unable to find and implement an alternative platform that is satisfactory for our needs on commercially</w:t>
      </w:r>
    </w:p>
    <w:p>
      <w:pPr>
        <w:spacing w:after="0" w:line="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reasonable terms, in a timely manner, or at all. Interruptions in our operations or service may reduce our revenue, cause us to issue refunds, result in the loss of customers, or harm our reputation. We could also be exposed to potential lawsuits and liability claims.</w:t>
      </w:r>
    </w:p>
    <w:p>
      <w:pPr>
        <w:spacing w:after="0" w:line="21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Recent or future macroeconomic pressures resulting from geopolitical uncertainty, public health developments or other matters may have an adverse impact on our business, financial results and prospects.</w:t>
      </w:r>
    </w:p>
    <w:p>
      <w:pPr>
        <w:spacing w:after="0" w:line="16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Recent geopolitical matters have led to significant uncertainty and negative impact on the macroeconomic environment, such as the imposition of tariffs, inflation, rising interest rates, market volatility and supply chain issues. Parts of our direct and indirect supply chain are located overseas and both international and domestic components have been, and may in the future be, subject to disruption by these developments. Global economic and business activities continue to face widespread uncertainties, and global credit and financial markets have experienced extreme volatility and disruptions in the past, including severely diminished liquidity and credit availability, rising inflation and monetary supply shifts, rising interest rates, labor shortages, supply chain issues, declines in consumer confidence, declines in economic growth, increases in unemployment rates, recession risks, and uncertainty about economic and geopolitical stability. A severe or prolonged economic downturn, or additional global financial or political crises, could adversely impact our business, financial results, and prospects. In addition, such macroeconomic conditions could impact our ability to access the public markets as and when appropriate or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necessary to carry out our operations or our strategic goals. We cannot anticipate all of the ways in which the current economic climate and financial market conditions could adversely impact our business.</w:t>
      </w:r>
    </w:p>
    <w:p>
      <w:pPr>
        <w:spacing w:after="0" w:line="20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the event of public health developments, health epidemics or outbreaks in the future, our operations could be disrupted and our business adversely impacted. Such disruptions or impacts may be similar to those faced during the COVID-19 pandemic, such as mandated business closures in impacted areas, limitations with employee resources due to stay at home orders or sickness of employees or their families, diversion or prioritization of health care resources away from the conduct of testing, limitations on patients’ access to our products, disruptions or restrictions affecting the ability of our laboratory facility to process our tests, reduced demand for certain of our products, or supply chain constraints.</w:t>
      </w:r>
    </w:p>
    <w:p>
      <w:pPr>
        <w:spacing w:after="0" w:line="20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Current or future tariffs or other restrictive trade measures may raise the costs of raw materials, components or finished goods, which may adversely impact both our product offerings and our operational expenses. Such</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cost increases may reduce our margins, which could negatively impact our revenue.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test services on expected timelines.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Trade disputes, trade restrictions, tariffs and other political tensions between the U.S. and other countries may also exacerbate unfavorable</w:t>
      </w:r>
    </w:p>
    <w:p>
      <w:pPr>
        <w:spacing w:after="0" w:line="1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macroeconomic conditions including inflationary pressures, foreign exchange volatility, financial market instability, and economic recessions or downturns, which may negatively impact our business and operations and contribute to volatility in the price of our common stock.</w:t>
      </w:r>
    </w:p>
    <w:p>
      <w:pPr>
        <w:spacing w:after="0" w:line="18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be sued for product liability or professional liability, we could face substantial liabilities that exceed our resources.</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marketing, sale and use of our products has in the past and could in the future lead to the filing of product liability or similar claims were someone to allege that our tests failed to perform as designed or as claimed in our promotional materials, performed pursuant to incorrect or inadequate laboratory procedures, if we delivered incorrect or incomplete test results or our tests failed to produce a result, or if someone were to misinterpret test results.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Even though our tests are highly accurate, they are not 100% accurate and we may report false negative or false positive results, which may subject us to lawsuits claiming product or professional liability</w:t>
      </w:r>
    </w:p>
    <w:p>
      <w:pPr>
        <w:spacing w:after="0" w:line="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or other claims, as has happened in the past and may happen in the future. A product liability or professional liability claim could result in substantial damages and be costly and time-consuming for us to defend. Although we maintain product and professional liability insurance,</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customers to terminate existing agreements with us and potential customers to seek other partners, any of which could adversely impact our results of operations.</w:t>
      </w:r>
    </w:p>
    <w:p>
      <w:pPr>
        <w:spacing w:after="0" w:line="20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estimates of total addressable market opportunity and forecasts of market growth may prove to be inaccurate, and even if the market in which we compete achieves the forecasted growth, our business could fail to grow at similar rates.</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total addressable market opportunity estimates and growth forecasts are subject to significant uncertainty and are based on internal and third-party assumptions and estimates that may not prove to be accurate.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w:t>
      </w:r>
    </w:p>
    <w:p>
      <w:pPr>
        <w:ind w:right="120"/>
        <w:spacing w:after="0"/>
        <w:rPr>
          <w:sz w:val="20"/>
          <w:szCs w:val="20"/>
          <w:color w:val="auto"/>
        </w:rPr>
      </w:pPr>
      <w:r>
        <w:rPr>
          <w:rFonts w:ascii="Arial" w:cs="Arial" w:eastAsia="Arial" w:hAnsi="Arial"/>
          <w:sz w:val="17"/>
          <w:szCs w:val="17"/>
          <w:color w:val="auto"/>
        </w:rPr>
        <w:t>addressable market for our current or future products may prove to be incorrect. If the actual number of patients who would benefit from our products, the price at which we can sell our products, the number of tests we are able to successfully develop and commercialize, or the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annual total addressable market for our products is smaller than we have estimated, it may impair our sales growth and have an adverse impact on our business, financial condition and results of operations. Additionally, half of our estimated total addressable market includes early detection, an area in which we have not yet begun specific product development or commercial sales. There can be no assurance that we will launch future products on the timeline we expect or at all. Even if a market in which we compete, or expect to compete, meets our size estimates and forecasted growth for such market, we may not be able to penetrate the existing market to capture additional market share and our business could fail to grow at similar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18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the future we may seek to acquire or invest in businesses, technologies, services, products, or other assets that we believe could complement or expand our products, enhance our technical capabilities, or otherwise offer opportunities for our business. Other than our partnerships with Johnson &amp; Johnson, we have limited experience with acquisitions and forming strategic partnerships. We may compete for</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those opportunities with others including our competitors, some of which may have greater financial or operational resources than we do. We may not be able to identify suitable acquisition candidates or strategic partners, we may have inadequate access to information or insufficient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Integration of an acquired business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results of operations and financial condition.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may not realize the anticipated benefits of any acquisition, technology license, strategic investments or partnerships, or joint venture. To finance any acquisitions, joint ventures or investments, we may choose to issue shares of our Class A common stock as consideration, which would dilute the ownership of our stockholders. If the market price of our Class A common stock is low or volatile, we may not be able to acquire other companies or fund a joint venture project using our stock as consideration.</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Also, the anticipated benefit of any strategic alliance, joint venture or acquisition may not materialize or such strategic alliance, joint venture or acquisition may be prohibited. For example, our debt facility with Oberland Capital Management LLC (Oberland Capital) restricts our ability</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to pursue certain mergers, acquisitions,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9"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16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Our products have taken time and considerable resources to develop, and we may not be able to complete the development and commercialization of new products on a timely basis, or at all. Before we can commercialize any new products, we may need to expend significant funds to:</w:t>
      </w:r>
    </w:p>
    <w:p>
      <w:pPr>
        <w:spacing w:after="0" w:line="1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substantial research and development, including validation studies;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find appropriate third party collaborators to conduct clinical studies;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and scale our laboratory processes to accommodate different products;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and scale our infrastructure to be able to analyze increasingly large amounts of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product development process involves a high degree of risk, and product development efforts may fail for many reasons, including:</w:t>
      </w:r>
    </w:p>
    <w:p>
      <w:pPr>
        <w:spacing w:after="0" w:line="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the product to perform as expected, including defects and errors;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pass validation required by regulatory requirements;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find appropriate samples for clinical validity and utility studies;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the clinical validity or utility of the product;</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necessary reimbursement by commercial or government payors;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unattractive economics due to unexpected higher costs of the final version of the product; 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cost of commercialization.</w:t>
      </w:r>
    </w:p>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development plan involves using data and analytical insights generated from our current products to foster research and development investment in our future products. However, if we are unable to generate additional or compatible data and insights, then we may not be able to advance our products under development as quickly, or at all, or without significant additional investment.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As we develop products, we have made and will have to make significant investments in product development, marketing and selling resources, including investing heavily in clinical studies, which could adversely affect our future cash flows. In addition, in our development and commercialization plans, we may forego other opportunities that may provide greater revenue or be more profitable. As a result, even if our development efforts result in commercially viable products, our business and results of operations could underperform in comparison to our customers and competitors.</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molecular diagnostics industry is subject to rapid change, which could make our current products, and any future products we may develop, obsolete.</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industry is characterized by rapid changes, including technological and scientific breakthroughs, frequent new product introductions and enhancements and evolving industry standards, all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in the prenatal and oncology fields, as well as advances in the application of machine learning and AI to molecular diagnostics and decision-making. We must continuously enhance our platform and develop new products to keep pace with evolving standards of care. If we do not update our product offerings to reflect new scientific knowledge about disease biology, information about new therapies or relevant clinical studies, or insights regarding the current treatment landscape for applicable indications and advances in computational biology, software development and AI, our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or severity of diseases for which we sell molecular diagnostic tests, the market for our applicable products could disappear entirely.</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support demand for our current and future products, including ensuring that we have adequate capacity to meet increased demand, or we are unable to successfully manage our anticipated growth, our business could suffer.</w:t>
      </w:r>
    </w:p>
    <w:p>
      <w:pPr>
        <w:spacing w:after="0" w:line="17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our volume of test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molecular diagnostic products. Portions of our process are not automated and may require additional personnel to scale.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21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As we commercialize additional products, we will need to incorporate new equipment, implement new technology systems and laboratory processes, and hire new personnel with different qualifications. Failure to manage this growth could result in turnaround time delays, higher</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product costs, declining product quality, deteriorating customer service and slower responses to competitive challenges. A failure in any one of these areas could make it difficult for us to meet market expectations for our products and could damage our reputation and prospects.</w:t>
      </w:r>
    </w:p>
    <w:p>
      <w:pPr>
        <w:spacing w:after="0" w:line="190"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Our employees, contractors, consultants and commercial partners may engage in misconduct or other improper activities, including non-compliance with regulatory standards and requirements.</w:t>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exposed to the risk of fraud or other misconduct by our employees, contractors, consultants and commercial partners. Misconduct by these parties could include intentional failures to comply with applicable federal, state and local regulations and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could result in regulatory sanctions and cause serious harm to our reputation. We currently have a code of conduct and compliance program applicable to all of our employees, contractors, consultants and partners, but it is not always possible to identify and deter misconduct, and our code of conduct, compliance program operations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penalties, including, without limitation, damages, monetary fines, individual imprisonment, disgorgement of profits, possible exclusion from participation in Medicare, Medicaid and other federal healthcare programs or from network participation with commercial third-party payors,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Whether or not we are successful in defending against such actions, we could incur substantial costs and expenses, including legal fees and divert the attention of management from the operation of our business.</w:t>
      </w:r>
    </w:p>
    <w:p>
      <w:pPr>
        <w:spacing w:after="0" w:line="209"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have been, and in the future may be, involved in legal proceedings, regulatory investigations and inquiries and other legal matters, which may have an adverse effect on our business, financial condition, results of operations and prospects.</w:t>
      </w:r>
    </w:p>
    <w:p>
      <w:pPr>
        <w:spacing w:after="0" w:line="16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been, and may in the future be, subject to threatened or actual legal claims, regulatory surveys or investigations, inquiries, proceedings and other legal matters. For example, from time to time we receive and respond to subpoenas from government authorities for records involving Medicaid patients. We consider our historical experiences with such claims and proceedings to be in the normal course of our business and typical for our industry.</w:t>
      </w:r>
    </w:p>
    <w:p>
      <w:pPr>
        <w:spacing w:after="0" w:line="201"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We also operate in a highly competitive industry, and competitors frequently use legal proceedings as a tactic against each other, and our competitors may use legal proceedings, or the threat of legal proceedings, against us. For example, the marketing activities of molecular</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diagnostic companies are subject to less stringent regulation by the FDA, which can lead to greater variability in marketing and sales practices among industry participants, including in the way that laboratories communicate with physicians and patients about their tests. Lower enforcement risks and variability in the interpretation of permissible communications can sometimes lead to claims of inaccurate or misleading communications by a laboratory company against a competitor. Our decision to become a public company heightened our profile and increased the risk that a competitor may initiate a legal proceeding against us, simply to disrupt our business.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our practices or take actions, including pursing a lawsuit, to enforce compliance by another laboratory, which can be costly, may affect our reputation with customers and patients, and there is no assurance that we would prevail in any such 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do not view any of the legal claims, regulatory investigations, inquiries, proceedings and other legal matters that we are currently subject</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to as being material to our business; however, it is difficult to assess the outcome of these matters, and we may not prevail in any current or future proceedings or litigation. There are many uncertainties associated with these matters. Such matters may cause us to incur costly</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litigation and/or substantial settlement charges, divert management attention, result in adverse judgments, fines, penalties, injunctions or other relief, and may result in loss of customer or investor confidence regardless of their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make royalty payments, which could adversely affect gross margin in future periods. If any of the foregoing were to occur, our business, financial condition, results of operations, cash flows, prospects, or market price of our Class A common stock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Genetic testing, like that conducted using our tests, has raised ethical, legal and social issues regarding privacy and the appropriate uses of the resulting information. Governmental authorities could, for social or other purposes, limit or regulate the use of genomic information or genomic testing or prohibit testing for genetic</w:t>
      </w: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predisposition to certain conditions, particularly for those that have no known cure. Patients may also refuse to use genetic tests even if permissible, for similar reasons such as religious concerns; they may also refuse genetic testing due to concerns regarding eligibility for life or other insurance. Ethical and social concerns may also influence U.S. and foreign patent offices and courts with regard to patent protection for technology relevant to our business. These and other ethical, legal and social concerns may limit market acceptance of our tests or reduce the potential markets for services and products enabled by our technology platform, either of which could harm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37"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Social media is increasingly being used to communicate about our products. Social media practices in our industry continue to evolve and regulations and regulatory guidance relating to such use are evolving and not always clear. This evolution creates uncertainty and risk of</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noncompliance with regulations applicable to our business, resulting in potential regulatory actions against us, along with the potential for litigation. In addition, there is a risk of inappropriate disclosure of sensitive information or negative or inaccurate posts or comments about us or our products on any social networking website. If any of these events were to occur or we otherwise fail to comply with any applicable regulations, we could incur liability, face restrictive regulatory actions, or incur other harm to our business such as reputational damage.</w:t>
      </w:r>
    </w:p>
    <w:p>
      <w:pPr>
        <w:spacing w:after="0" w:line="209"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 or to achieve and then sustain profitability.</w:t>
      </w:r>
    </w:p>
    <w:p>
      <w:pPr>
        <w:spacing w:after="0" w:line="16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Growing understanding of the importance of molecular diagnostic testing is leading to more companies offering services in our industry. This has included new and accelerated development programs by a number of potential competitors and increasing levels of merger and acquisition and investment activity by both existing and new competitors. Currently, in prenatal, our main competitors offering NIPTs include Illumina, through its subsidiary Verinata, Laboratory Corporation of America Holdings (Labcorp), Myriad Genetics, Inc. (Myriad), Natera, Inc. (Natera), and Quest Diagnostics Incorporated (Quest). We also compete with companies providing carrier screening tests such as Fulgent</w:t>
      </w:r>
    </w:p>
    <w:p>
      <w:pPr>
        <w:spacing w:after="0" w:line="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Genetics, Labcorp, Myriad, Natera, and Quest. Each of these companies offers comprehensive carrier screening panels. In oncology, our main competitors for our therapy selection and response monitoring tests include Caris Life Sciences, Inc., Foundation Medicine, Inc., which</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was acquired by Roche Holdings, Guardant Health, Inc., NeoGenomics Laboratories, Inc., and Tempus AI, Inc. As we expand our oncology offerings into applications such as MRD testing, as well as potentially testing for early detection in the future, we anticipate facing competition from a broader universe of companies, including Exact Sciences, Grail, Haystack, which was acquired by Quest, and Natera. Most if not all of our competitors sell molecular diagnostic tests and have or may develop tests that compete with ours. In addition, new competitors, including academic medical centers or healthcare providers, may also develop their own tests and may decide to enter our markets.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Some of our competitors and potential competitors may have advantages such as: longer operating histories; larger customer bases; greater brand recognition and market penetration; substantially greater financial, technological and research and development resources and selling and marketing capabilities; more experience dealing with third-party payors; the ability to secure key inputs from vendors on more favorable terms; and the ability to adopt more aggressive pricing policies and devote substantially more resources to product development. As a result, our competitors may be able to respond more quickly to changes in customer requirements, devote greater resources to the development, promotion and sale of their tests than we do or sell their tests at prices designed to win significant levels of market share. We may not be</w:t>
      </w:r>
    </w:p>
    <w:p>
      <w:pPr>
        <w:spacing w:after="0" w:line="2"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able to compete effectively against these organizations. Furthermore, certain products offered by our competitors and potential market entrants may have attained FDA approval or Advanced Diagnostic Laboratory Test (ADLT) status. The presence of FDA approval, ADLT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status, or both, enables such products to qualify for higher reimbursement rates, under CLFS, thereby affording competitors the opportunity to achieve higher profit margins. Increased competition and cost-saving initiatives on the part of governmental entities and other third-party payors are likely to result in pricing pressures, which could harm our sales, profitability or ability to gain market share. In addition, competitors may be acquired by, receive investments from or enter into other commercial relationships with larger, well-established and well-financed companies. In addition, companies or governments that control access to genetic testing through umbrella contracts or regional preferences could promote our competitors or prevent us from performing certain services.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1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addition, the market is constantly changing, and we are not in control of how our competitors’ product development and pricing strategies are established. Our competitors may develop lower-priced, less complex</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tests that payors and providers could view as functionally equivalent to our products, which could force us to lower the list price of our tests and impact our operating margins and our ability to achieve and maintain profitability. In addition, technological innovations that result in the creation of enhanced diagnostic tools that are more effective than ours may enable healthcare providers to deliver specialized diagnostic tests similar to ours in a more patient-friendly, efficient or cost-effective manner than is currently possible. If we cannot compete successfully against current or future competitors, we may be unable to increase or create market acceptance and sales of our products, which could prevent us from increasing or sustaining our revenue or achieving or sustaining profitability.</w:t>
      </w:r>
    </w:p>
    <w:p>
      <w:pPr>
        <w:spacing w:after="0" w:line="2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may not be able to generate sufficient revenue to achieve or maintain profitability.</w:t>
      </w:r>
    </w:p>
    <w:p>
      <w:pPr>
        <w:spacing w:after="0" w:line="17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have incurred significant losses since our inception. For the years ended December 31, 2023 and 2024, and the nine months ended September 30, 2024, we incurred net losses of $82.7 million, $41.6 million and $30.1 million, respectively; however, we had net income of approximately $1.5 million for the nine months ended September 30, 2025. As of September 30, 2025 we had an accumulated deficit of $280.7 million. To date, we have financed our operations principally from the sale of preferred stock, convertible securities and debt and revenue generated from our tests. We have devoted substantially all of our resources to the development and commercialization of our smNGS platform and current products, and to sales and marketing and research and development activities. In addition, as a public company, we will incur significant legal, accounting and other expenses that we did not incur as a private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While we have been able to achieve gross margin of 24% and 53% for the years ended December 31, 2023 and 2024, and 51% and 67% for the nine months ended September 30, 2024 and 2025, respectively, factors including reimbursement rates, insurance coverage policies, supply chain issues or increased personnel costs could cause our gross margin for existing or new products to decrease. We will need to generate substantial revenue and maintain our gross margin profile to achieve and then sustain profitability, and even if we achieve</w:t>
      </w:r>
    </w:p>
    <w:p>
      <w:pPr>
        <w:ind w:right="80"/>
        <w:spacing w:after="0"/>
        <w:rPr>
          <w:sz w:val="20"/>
          <w:szCs w:val="20"/>
          <w:color w:val="auto"/>
        </w:rPr>
      </w:pPr>
      <w:r>
        <w:rPr>
          <w:rFonts w:ascii="Arial" w:cs="Arial" w:eastAsia="Arial" w:hAnsi="Arial"/>
          <w:sz w:val="17"/>
          <w:szCs w:val="17"/>
          <w:color w:val="auto"/>
        </w:rPr>
        <w:t>profitability, we cannot be sure that we will remain profitable for any period of time. While we have recently experienced improvements in our operational efficiency that has contributed to revenue growth, in the future we may not be able to continue to improve operational efficiency</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or manage costs as we expand our business. In addition, though we expect that our test volumes and ASPs will increase in the future,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common stock to decline.</w:t>
      </w:r>
    </w:p>
    <w:p>
      <w:pPr>
        <w:spacing w:after="0" w:line="20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w:t>
      </w:r>
    </w:p>
    <w:p>
      <w:pPr>
        <w:spacing w:after="0" w:line="22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3" w:lineRule="exact"/>
        <w:rPr>
          <w:rFonts w:ascii="Arial" w:cs="Arial" w:eastAsia="Arial" w:hAnsi="Arial"/>
          <w:sz w:val="18"/>
          <w:szCs w:val="18"/>
          <w:color w:val="auto"/>
        </w:rPr>
      </w:pPr>
    </w:p>
    <w:p>
      <w:pPr>
        <w:ind w:left="660" w:right="50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compliance or commercialization activities relating to our products, which may change from time to time;</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products and products that compete with our products;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expenditures that we may incur to develop or commercialize additional products and technologies;</w:t>
      </w:r>
    </w:p>
    <w:p>
      <w:pPr>
        <w:ind w:left="660" w:right="58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regulations including with respect to privacy and data security and CLIA (as defined below), and our compliance therewith;</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ind w:left="660" w:right="760" w:hanging="328"/>
        <w:spacing w:after="0" w:line="279"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natural disasters, political and economic instability, including wars, terrorism, and political unrest, epidemics or pandemics, boycotts, high inflation, volatility, tariffs and other trade actions or curtailments, and other business restrictions.</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provide is below the expectations of analysts or investors, the market price of our Class A common stock could decline substantially. Such a stock price decline could occur even when we have met any previously publicly stated guidance we may provide.</w:t>
      </w:r>
    </w:p>
    <w:p>
      <w:pPr>
        <w:spacing w:after="0" w:line="1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may need to raise additional capital, and if we cannot do so when needed or on commercially acceptable terms, we will be required to slow or cease our investment in our product development and commercialization plans, which would have an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net losses since our inception. While we have introduced products that are generating revenue, this revenue may not be</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sufficient to fund all of our operations, including our product development and commercialization plans and our sales and marketing efforts. Consequently, we may need to generate additional revenue to achieve or maintain future profitability and may need to raise additional funds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through public or private equity or debt financings, corporate collaborations or licensing arrangements to continue to fund or expand our operations. However, subject to limited exceptions, our debt facility with BWCB SA LLC (an entity affiliated with Oberland Capital) prohibits us from incurring additional indebtedness without the prior written consent of Oberland Capital and investors holding at least 50% of the aggregate principal amount of the Note Purchase Agreement (as defined below). If sufficient funds on acceptable terms are not available when needed, or at all, we could be forced to significantly reduce operating expenses and delay, scale back or eliminate one or more of our development programs or our business operations. Furthermore,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funding requirements will depend on numerous factors, including:</w:t>
      </w:r>
    </w:p>
    <w:p>
      <w:pPr>
        <w:spacing w:after="0" w:line="23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broader commercial success with our tests;</w:t>
      </w:r>
    </w:p>
    <w:p>
      <w:pPr>
        <w:spacing w:after="0" w:line="13" w:lineRule="exact"/>
        <w:rPr>
          <w:rFonts w:ascii="Arial" w:cs="Arial" w:eastAsia="Arial" w:hAnsi="Arial"/>
          <w:sz w:val="18"/>
          <w:szCs w:val="18"/>
          <w:color w:val="auto"/>
        </w:rPr>
      </w:pPr>
    </w:p>
    <w:p>
      <w:pPr>
        <w:ind w:left="660" w:right="680" w:hanging="328"/>
        <w:spacing w:after="0" w:line="22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success of our research, development, and commercialization efforts for potential new offerings and additional indications for, and enhancements to, current offerings;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offerings, including our sales and marketing efforts;</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for our tests, as we continue to invest in expanding our offerings;</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sufficient revenue from our tests;</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collect on our accounts receivable;</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need to finance capital expenditures and further expand our laboratory operations;</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our operating costs;</w:t>
      </w:r>
    </w:p>
    <w:p>
      <w:pPr>
        <w:ind w:left="660" w:right="60" w:hanging="328"/>
        <w:spacing w:after="0" w:line="23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expenses to protect or enforce our intellectual property rights or to defend against infringement claims brought against us, including any associated litigation settlements or judgments we are required to pay;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results of any regulatory authorizations that we are required to obtain for our tests.</w:t>
      </w:r>
    </w:p>
    <w:p>
      <w:pPr>
        <w:spacing w:after="0" w:line="22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While we currently have in place a debt facility pursuant to which we have an obligation to sell a tranche of notes in the amount of $30.0 million before March 31, 2026, as described in more detail below, we may need to raise additional capital which may not be available on satisfactory terms or at all. Furthermore, any additional capital raised through the sale of equity or convertible securities, or grant of equity or</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convertible securities in connection with any debt financing, will dilute stockholders’ ownership interests in us and may have an adverse effect on the market price of our Class A common stock. In addition, the terms of any financing may adversely affect stockholders’ holdings</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or rights. To the extent that we raise capital through collaborations and licensing arrangements, it may be necessary to relinquish some rights to our technologies or grant licenses on terms that may not be favorable to us.</w:t>
      </w:r>
    </w:p>
    <w:p>
      <w:pPr>
        <w:spacing w:after="0" w:line="1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These alternatives for raising additional capital may not be available to us on acceptable or commercially reasonable terms, if at all, or in amounts sufficient to meet our needs. If we are not able to obtain adequate funding when needed, we may be required to delay or slow our investment in the development and commercialization of our products and significantly scale back our business and operations, which would have an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inability to effectively protect our proprietary technologies could harm our competitive position.</w:t>
      </w:r>
    </w:p>
    <w:p>
      <w:pPr>
        <w:spacing w:after="0" w:line="23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protection and may not adequately protect our rights or permit us to gain or keep any competitive advantage. As of September 30, 2025, we held nine U.S. issued patents, 45 foreign patents, 14 pending U.S. patent applications and 32 foreign patent applications. If we fail to obtain, maintain and/or protect our intellectual property rights, third parties may be able to compete more effectively against us. Our success and ability to compete depend to a large extent on our ability to develop proprietary products and technologies and to maintain adequate protection of our intellectual property in the United States and other countries. The laws of some foreign countries do not protect proprietary rights to the same extent as the laws of the United States, and we may encounter difficulties in establishing and enforcing our proprietary</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rights outside of the United States. In addition, the proprietary positions of companies developing and commercializing tools for molecular diagnostics, including ours, generally are uncertain and involve complex legal and factual questions. This uncertainty may materially affect</w:t>
      </w:r>
    </w:p>
    <w:p>
      <w:pPr>
        <w:spacing w:after="0" w:line="2"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our ability to defend or obtain patents or to address the patents and patent applications owned or controlled by our collaborators and licensors.</w:t>
      </w:r>
    </w:p>
    <w:p>
      <w:pPr>
        <w:spacing w:after="0" w:line="1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proprietary technologies are protected by valid and enforceable patents or are effectively maintained as trade secrets. However, obtaining, maintaining and enforcing biotechnology patents is costly, time-consuming and complex. We may fail to apply for patents on important products, services or technologies in a timely fashion or at all, or we may fail to apply for patents in potentially relevant jurisdictions. We may not be able to file and prosecute all necessary or desirable patent applications, or maintain or enforce patents that may issue from such patent applications, at a reasonable cost or in a timely manner. It is also possible that we will fail to identify patentable aspects of our research and development output before it is too late to obtain patent protection. We have worked to procure patents protecting our technologies, but our procurement efforts may not always be successful, and any patents we successfully procure may be challenged in ways that lead to post-procurement scope reduction or invalidity. Any such challenges may impede our ability to protect our proprietary rights from unauthorized use. In addition,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finding that others have claims of inventorship or ownership rights to our patents and applications could require us to obtain certain rights to practice related technologies, which may not be available on favorable terms or at all.</w:t>
      </w:r>
    </w:p>
    <w:p>
      <w:pPr>
        <w:spacing w:after="0" w:line="20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The patent positions of molecular laboratory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molecular diagnostic tests, like us, are particularly uncertain. Various courts, including the U.S. Supreme Court, have rendered decisions that affect the scope of patentability of certain inventions or discoveries relating to certain molecular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is uncertain, and it is possible that certain aspects of molecular diagnostics tests would be considered natural laws. Accordingly, the evolving legal and</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administrative standards around the world, including in the United States may adversely affect our ability to obtain patents and may facilitate third-party challenges to any owned or future licensed patents. The laws of some foreign jurisdictions do not protect intellectual property</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9"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6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addition to pursuing patents covering our products, services and technology, we take steps to protect our intellectual property and proprietary technology by entering into agreements, including confidentiality and non-disclosure agreements with those that have access to our confidential and proprietary information including employees, independent contractors, academic institutions, corporate partners and</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advisers, and invention assignment agreements with our employees and independent contractors, and when needed, our advisers. However, we cannot be certain that such agreements have been entered into with all relevant parties, and we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cannot be certain that our trade secrets and other proprietary information will not be disclosed or that competitors will not otherwise gain access to our trade secrets or independently develop substantially equivalent information and techniques.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or obtain adequate remedies for breaches.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Monitoring unauthorized use or disclosure is difficult, and we do not know whether the steps we have taken to prevent such use or disclosure</w:t>
      </w:r>
    </w:p>
    <w:p>
      <w:pPr>
        <w:spacing w:after="0" w:line="25"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are, or will be, adequate. If we were to enforce a claim that a third party had illegally obtained and was using our trade secrets, it would be expensive and time-consuming, and the outcome would be unpredictable. In addition, courts outside the United States may be less willing to</w:t>
      </w:r>
    </w:p>
    <w:p>
      <w:pPr>
        <w:spacing w:after="0" w:line="236" w:lineRule="auto"/>
        <w:rPr>
          <w:sz w:val="20"/>
          <w:szCs w:val="20"/>
          <w:color w:val="auto"/>
        </w:rPr>
      </w:pPr>
      <w:r>
        <w:rPr>
          <w:rFonts w:ascii="Arial" w:cs="Arial" w:eastAsia="Arial" w:hAnsi="Arial"/>
          <w:sz w:val="18"/>
          <w:szCs w:val="18"/>
          <w:color w:val="auto"/>
        </w:rPr>
        <w:t>protect trade secrets.</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0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substantial litigation and other proceedings regarding patent and other intellectual property rights in the molecular diagnostics industry. For example, third parties in this industry have brought numerous patent infringement lawsuits against one another in which certain of these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parties were found to infringe the others’ patents. Third parties have also challenged other parties’ patents and successfully invalidated some of those patents in patent infringement lawsuits or post-grant proceedings. Some of these third parties are our competitors and some have broad patent claims. These competitors or other third parties may also target us in patent infringement lawsuits or may also challenge our patents. Our decision to become a public company heightened our profile and increased the risk that a competitor may initiate a patent infringement lawsuit against us to disrupt our business. Even if we believe any such claims are without merit and not material to our business, financial condition, results of operations, or prospects, any such legal proceeding will require the attention of our management to respond and resources to defend.</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Third parties have already asserted and may in the future assert that we are infringing their intellectual property rights. We may become subject to and/or initiate future intellectual property litigation as our product portfolio, and the level of competition in our industry, grow. Such proceedings could also include contested post-grant proceedings such as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reexamination, interference, or derivation proceedings before the U.S. Patent and Trademark Office or foreign patent offices.</w:t>
      </w:r>
    </w:p>
    <w:p>
      <w:pPr>
        <w:spacing w:after="0" w:line="2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Should we be unsuccessful defending against patent infringement claims, we may be required to pay substantial royalties, money damages, change our marketing practices, modify our tests, or be enjoined from offering our tests. In addition, we could experience delays in product</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introductions or sales growth while we attempt to develop non-infringing alternatives. Any of these or other adverse outcomes could delay or prevent us from offering our tests or otherwise have a material adverse effect on our business, financial condition and our results of operations.</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are found to infringe, misappropriate or otherwise violate a third-party’s intellectual property rights, we could be required to obtain a license from such third-party to continue developing, manufacturing, marketing and selling our tests.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products or product candidates.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w:t>
      </w:r>
    </w:p>
    <w:p>
      <w:pPr>
        <w:spacing w:after="0" w:line="5"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that forces us to cease some of our business operations, which could materially harm our business. In addition, we may be forced to redesign our tests, seek new regulatory approvals and indemnify third parties pursuant to</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contractual agreements. Claims that we have misappropriated the confidential information or trade secrets of third parties could have a similar negative impact on our business.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cannot predict whether, or offer any assurance that, any patent infringement claims we may initiate in the future will be successful. We may become subject to counterclaims by patent infringement defendants. Our patents may be declared invalid or unenforceable, or narrowed in scope.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Even if we prevail in an infringement action, we cannot assure you that we would be adequately compensated for the harm to our business. If</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we are unable to enjoin third-party infringement, our revenue may be adversely impacted and we may lose market share; and such third-party product may continue to exist in the market, but fail to meet our regulatory or safety standards, thereby causing irreparable harm to our</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reputation as a provider of quality products, which in turn could result in loss of market share and have a material adverse effect on our business, financial condition and our results of operations.</w:t>
      </w:r>
    </w:p>
    <w:p>
      <w:pPr>
        <w:spacing w:after="0" w:line="19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products.</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or regions may diminish the value of our intellectual property rights. We cannot predict the breadth of claims that may be allowed or enforced in our patents or in third-party patents. We may not develop additional proprietary products, services, methods and technologies that are patentable.</w:t>
      </w:r>
    </w:p>
    <w:p>
      <w:pPr>
        <w:spacing w:after="0" w:line="19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the Leahy-Smith America Invents Act, assuming that certain requirements for patentability are met, the first inventor to file a patent application will be entitled to the patent on an invention regardless of whether a third party was the first to invent the claimed invention. Prior to March 16, 2013, in the United States, the first to invent the claimed invention was entitled to the patent, while outside the United States, the first to file a patent application was entitled to the patent. A third party that files a patent application in the USPTO on or after March 16, 2013, but before us, could therefore be awarded a patent covering an invention of ours even if we had made the invention before it was made by such third party, requiring us to be cognizant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products or (ii) invent any of the inventions claimed in our patents or patent applications.</w:t>
      </w:r>
    </w:p>
    <w:p>
      <w:pPr>
        <w:spacing w:after="0" w:line="1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America Invents Act also affects the way patent applications are prosecuted and patent litigation. The Act allows third-party submission of prior art to the USPTO during patent prosecution or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to attack the validity of a patent.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may attempt to use the USPTO proceedings to invalidate our patent claims that would not have been invalidated if first challenged by the third party in a district court action, which could increase the uncertainties and costs surrounding our prosecution of patent applications and enforcement or defense of issued patents, all of which could have a material adverse effect on our business, financial condition, results of operations and prospects.</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Similarly, there is complexity and uncertainty related to European patent laws. In June 2023, a new unitary patent system was introduced, which will significantly impact European patents, including those granted before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introduction of the system. Under the unitary patent system, after a European patent is granted, the patent proprietor can request unitary effect, thereby getting a European patent with unitary effect (a Unitary Patent). The Unitary Patent will make it possible for a patentee to obtain patent protection in numerous European Union member states in a single patent as an alternative to the current, more expensive system of selecting and paying for validation of a patent in each specific European Union state of interest. Each Unitary Patent is subject to the jurisdiction of the Unitary Patent Court (UPC). As the UPC is a new court system, there is limited precedent for the court, increasing the uncertainty of any litigation. It is not yet known if the UPC will be more or less favorable to patentees than the national courts for each</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individual European Union state that have historically heard patent litigations in that corresponding state. Patentees having patents granted before the implementation of the UPC will have the option of opting out of the jurisdiction of the UPC and having their patents remain as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national patents in the UPC countries. Patents that remain under the jurisdiction of the UPC may be potentially vulnerable to a single UPC-based revocation challenge that, if successful, could invalidate the patent in all countries that are signatories to the UPC. We cannot predict with certainty the long-term effects of the new unitary patent system. Upon each grant of a European patent, we will have to make the decision as to whether to proceed with national patents or a Unitary Patent based. Since the unitary patent system is continuing to develop and we have limited information, we may make a choice that results in some patents being invalidated. In addition, the European Patent Office (the EPO) patent system is relatively stringent in the type of amendments that are allowed during prosecution. These limitations and requirements could adversely affect our ability to obtain new patents in the future that may be important for our business. The EPO also has an opposition procedure in which third parties, such as competitors, can file an opposition against one of our European patents for a period of nine months after grant of the patent. If the opposition is successful, it can result in invalidation of the patent, which could mean that the product covered by that patent is not protected in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of companies engaged in the development and commercialization of molecular laboratory products are particularly</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uncertain. Court rulings may narrow the scope of patent protection available in certain circumstances and weaken the rights of patent owners in certain situations. We cannot predict how decisions by the courts, the U.S. Congress or the USPTO may impact the value of our patents.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the United States, the current presidential administration has been making numerous changes that could have unforeseeable short- and long-term effects on intellectual property law and how the patent system operates. These changes may affect patentability of inventions, enforcement of patents, patent scope, patent validity, patent infringement issues and lawsuits, post-grant proceedings within the USPTO, among other areas. In addition, due to reductions in staff within the USPTO, particularly within the Patent Trial and Appeal Board (PTAB), certain processes may take longer or become unavailable to patentees. It may take longer for patents to grant because there are fewer patent examiners or fewer judges within the PTAB to handle patent appeals, which may hinder our ability to protect our products with patents.</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In addition, the USPTO may reduce or cut certain programs that benefit patentees if the USPTO is understaffed, which may also limit our ability to protect our products with patents. Additionally, patentees may have more limited access to post-grant proceedings at the PTAB</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within the USPTO since there are fewer judges within the PTAB. This may make it more difficult for us to challenge competitor patents in a cost-effective manner and may instead require us to bring a more costly and lengthy patent litigation to challenge competitor patents.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services or technology could be found invalid or unenforceable if challenged.</w:t>
      </w:r>
    </w:p>
    <w:p>
      <w:pPr>
        <w:spacing w:after="0" w:line="23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Some of our patent rights may be challenged at a future point in time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Any successful third-party challenge to our patent rights in this or any other proceeding could result in the unenforceability or invalidity of such patent rights, which may lead to increased competition to our business. In addition, if the breadth or strength of protection provided by our patents and patent applications is threatened, regardless of the outcome, it could dissuade companies from collaborating with us to license, develop, manufacture or commercialize our current or future products, services or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products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our inventions, we may participate in interference proceedings, derivation proceedings or other post-grant proceedings declared by the USPTO that could result in substantial cost to us. The outcome of</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tested, and their outcome is therefore uncertain. If third parties bring actions against our patent rights, we could experience significant costs and management distraction.</w:t>
      </w:r>
    </w:p>
    <w:p>
      <w:pPr>
        <w:spacing w:after="0" w:line="1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patent litigation in the United States or abroad, defendant counterclaims alleging invalidity or unenforceability of plaintiff’s patents are common.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patent office or made a misleading statement during prosecution. Similar claims may also be raised before patent offices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products. The outcome of patent litigation or patent office proceedings following assertions of invalidity and unenforceability is unpredictable. With respect to the validity question, for example, we cannot be certain that there is no invalidating prior art, of which we and the patent examiner were unaware during prosecution.</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relevant patent that protects our products, service or technology. Such a loss of patent protection could have a material adverse impact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business.</w:t>
      </w:r>
    </w:p>
    <w:p>
      <w:pPr>
        <w:spacing w:after="0" w:line="22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may in the future initiate or become involved in legal proceedings against a third party to enforce a patent covering one of our products or technology. Defendants in such proceedings could counterclaim that the patents covering our products or technology are invalid or unenforceable and could institute legal proceedings to challenge such patents both in court and before patent offices. Any assertion of invalidity and/or unenforceability against the patents covering our products or technology, even if not successful, could be time-consuming and expensive to defend, damage our reputation in the marketplace and the prospects for our business, and divert our management’s attention.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intellectual property.</w:t>
      </w:r>
    </w:p>
    <w:p>
      <w:pPr>
        <w:spacing w:after="0" w:line="23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may be subject to claims that former employees, independent contractors, collaborators or other third parties have an interest in or right to our owned or future licensed patents, trade secrets or other intellectual property. For example, we may have inventorship disputes arise from conflicting obligations of employees, independent contractors or others who are involved in developing such intellectual property.</w:t>
      </w:r>
    </w:p>
    <w:p>
      <w:pPr>
        <w:spacing w:after="0" w:line="2" w:lineRule="exact"/>
        <w:rPr>
          <w:sz w:val="20"/>
          <w:szCs w:val="20"/>
          <w:color w:val="auto"/>
        </w:rPr>
      </w:pPr>
    </w:p>
    <w:p>
      <w:pPr>
        <w:jc w:val="both"/>
        <w:ind w:right="400"/>
        <w:spacing w:after="0" w:line="22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of our owned patents, trade secrets or other intellectual property. If we fail in defending against any such claims, we may lose exclusive ownership of, or right to use,</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valuable intellectual property.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results of operations and prospects.</w:t>
      </w:r>
    </w:p>
    <w:p>
      <w:pPr>
        <w:spacing w:after="0" w:line="208"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18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have employed or engaged and expect to employ or engage individuals who were previously employed at or associated with universities or other companies, including our competitors or potential competitors. Although we try to ensure that our employees and independent contractors do not use the proprietary information or know-how of others in their work for us, we have received claims in the past, and may be subject to claims in the future, that our employees or independent contractors have inadvertently or otherwise used or disclosed trade</w:t>
      </w:r>
    </w:p>
    <w:p>
      <w:pPr>
        <w:ind w:right="60"/>
        <w:spacing w:after="0"/>
        <w:rPr>
          <w:sz w:val="20"/>
          <w:szCs w:val="20"/>
          <w:color w:val="auto"/>
        </w:rPr>
      </w:pPr>
      <w:r>
        <w:rPr>
          <w:rFonts w:ascii="Arial" w:cs="Arial" w:eastAsia="Arial" w:hAnsi="Arial"/>
          <w:sz w:val="17"/>
          <w:szCs w:val="17"/>
          <w:color w:val="auto"/>
        </w:rPr>
        <w:t>secrets or other proprietary information of their former employers or other third parties, or to claims that we have improperly used or obtained such trade secrets. Litigation may be necessary to defend against these claims in the future. If we lose, in addition to paying monetary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damages, we may be deprived of valuable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intellectual property and face increased competition. A loss of key personnel or work product could hamper or prevent our ability to develop, manufacture and/or commercialize products, services or technology, which could materially adversely affect our business. Even if we are successful in defending against these claims, litigation could result in damage to our reputation and substantial costs and be a distraction to management and affected individuals.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and enforce our trademarks and we could infringe others’ trademarks.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not yet registered trademarks in all of our potential markets, although we have registered BillionToOne, UNITY Complete, NorthStar</w:t>
      </w:r>
    </w:p>
    <w:p>
      <w:pPr>
        <w:spacing w:after="0" w:line="14"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Select and NorthStar Response in the United States and certain foreign jurisdictions. If we apply to register additional trademarks in the United States and other countries, our applications may not be allowed for registration in a timely fashion or at all, and our registered</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trademarks may not be maintained or enforced. In addition, opposition or cancellation proceedings may be filed against our trademark applications and registrations, and our trademarks may not survive such proceedings. If we do not timely register and enforce marks used in connection with our products or technology, we may encounter difficulty in enforcing them against third parties, and if these marks are registered by others, we could infringe such trademarks and may have to defend ourselves to continue the use of our trademarks, which may be time consuming and costly, and we may be unsuccessful.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adequately throughout the world.</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to nine U.S. issued patents and 14 pending U.S. patent applications, we held 45 foreign patents and 32 foreign patent applications as of September 30, 2025. Filing, prosecuting and defending patents and other intellectual property rights covering our products, services and technology in all countries throughout the world would be prohibitively expensive, and our intellectual property rights in some territories outside the United States can be less extensive than those in the United States. In addition, the laws of some foreign countries and regions do not protect intellectual property rights to the same extent as the laws of the United States, and we may encounter difficulties in protecting and defending such rights in foreign jurisdictions. Consequently, we may not be able to prevent third parties from practicing our inventions in all jurisdictions, or from selling, making or importing products, services or technology by practicing our intellectual property rights. Competitors may practice our intellectual property rights in jurisdictions where we have not obtained patent protection to develop, manufacture, sell or import their own products, services or technology and may also export products, services or technology that infringe upon our intellectual property rights to territories where we have patent protection that do not provide strong intellectual property or enforcement rights as strong as that in the United States. These products, services or technology may compete with our products, services</w:t>
      </w:r>
    </w:p>
    <w:p>
      <w:pPr>
        <w:spacing w:after="0" w:line="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or technology. Our patents or other intellectual property rights existing outside the United States may not be effective or sufficient to prevent third parties from competing with us. Similarly, intellectual property rights may be exhausted in certain situations, and others could import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products sold abroad and compete with us domestically.</w:t>
      </w:r>
    </w:p>
    <w:p>
      <w:pPr>
        <w:spacing w:after="0" w:line="2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and regions do not favor the enforcement of patents and other intellectual property protection, particularly those relating to biotechnology, which could make it difficult for us to stop the infringement of our patents and other intellectual property rights in such jurisdictions. Proceedings to enforce our patent rights and other intellectual property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intellectual property rights around the world may be inadequate to obtain a significant commercial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Failure to comply with the terms of underlying open source software licenses could require us to publicly disclose our proprietary software.</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use open source software to leverage established solutions when those solutions are not central to our unique products.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w:t>
      </w:r>
    </w:p>
    <w:p>
      <w:pPr>
        <w:ind w:right="80"/>
        <w:spacing w:after="0"/>
        <w:rPr>
          <w:sz w:val="20"/>
          <w:szCs w:val="20"/>
          <w:color w:val="auto"/>
        </w:rPr>
      </w:pPr>
      <w:r>
        <w:rPr>
          <w:rFonts w:ascii="Arial" w:cs="Arial" w:eastAsia="Arial" w:hAnsi="Arial"/>
          <w:sz w:val="17"/>
          <w:szCs w:val="17"/>
          <w:color w:val="auto"/>
        </w:rPr>
        <w:t>modifications or derivative works using the open source software or provide software services at no cost to the user, depending on the type of open source software the licensee uses and how the licensee uses it. If we combine our proprietary software with open source software in</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2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commercialize our products. Although we have reviewed our use of open source software,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8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w:t>
      </w:r>
    </w:p>
    <w:p>
      <w:pPr>
        <w:ind w:right="80"/>
        <w:spacing w:after="0" w:line="226" w:lineRule="auto"/>
        <w:rPr>
          <w:sz w:val="20"/>
          <w:szCs w:val="20"/>
          <w:color w:val="auto"/>
        </w:rPr>
      </w:pPr>
      <w:r>
        <w:rPr>
          <w:rFonts w:ascii="Arial" w:cs="Arial" w:eastAsia="Arial" w:hAnsi="Arial"/>
          <w:sz w:val="18"/>
          <w:szCs w:val="18"/>
          <w:color w:val="auto"/>
        </w:rPr>
        <w:t>and/or applications. We have systems in place to remind us to pay these fees, and we rely on our outside counsel and a third-party service provider to pay these fees due to patent agencies. The USPTO and various foreign governmental patent agencies require compliance with a</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number of procedural, documentary, fee payment and other similar requirements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forfeiture of the patent or patent application and thus loss of patent rights in the relevant jurisdiction. Such an event would allow our competitors to enter the unprotected market and have a material adverse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23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products are obtained, once the patent life has expired, we may be open to competition. Given the amount of time required for the development, testing and regulatory review of our new products or technologies, patents protecting them might expire before or shortly after they are commercialized. As a result, our patent portfolio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may not provide us with a sufficient exclusivity period to exclude others from commercializing products similar or identical to ours.</w:t>
      </w:r>
    </w:p>
    <w:p>
      <w:pPr>
        <w:spacing w:after="0" w:line="2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Further, recent judicial decisions in the U.S.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41"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Our tests are currently marketed as LDTs, and future changes in FDA enforcement of LDTs could subject our operations to much more significant regulatory requirements.</w:t>
      </w:r>
    </w:p>
    <w:p>
      <w:pPr>
        <w:spacing w:after="0" w:line="15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currently offer a number of genetic tests, each of which is a laboratory developed test (LDT). Our laboratories are currently regulated under Clinical Laboratory Improvement Amendments of 1988 (CLIA) and we have elected to comply with the higher standards and requirements established by the College of American Pathologists (CAP), a CMS-approved accreditation organization, and we are subject to extensive federal and certain state laws and regulations. The Food and Drug Administration (FDA) considers an LDT to be a test that is designed, developed, validated and used within a single laboratory. The FDA had historically taken the position that it had the authority to regulate LDTs as medical devices under the Federal Food, Drug, and Cosmetic Act (FD&amp;C Act) but exercised enforcement discretion until it recently rescinded LDT regulations indicating that it does not have the authority to require clearance, de novo classification, or approval of LDTs prior to market release.</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FDA premarket clearance, approval or de novo classification is required, in the future, for any of our existing or future tests, or for any components or materials we use in tests, and we are not able to obtain such clearance, approval or de novo classification, we may be forced to stop selling our tests or we may be required to modify claims for or make other changes to our tests while we or our suppliers work to obtain FDA clearance, approval or de novo classification. The need for compliance with such FDA regulations would be time-consuming and</w:t>
      </w:r>
    </w:p>
    <w:p>
      <w:pPr>
        <w:ind w:right="260"/>
        <w:spacing w:after="0" w:line="226" w:lineRule="auto"/>
        <w:rPr>
          <w:sz w:val="20"/>
          <w:szCs w:val="20"/>
          <w:color w:val="auto"/>
        </w:rPr>
      </w:pPr>
      <w:r>
        <w:rPr>
          <w:rFonts w:ascii="Arial" w:cs="Arial" w:eastAsia="Arial" w:hAnsi="Arial"/>
          <w:sz w:val="18"/>
          <w:szCs w:val="18"/>
          <w:color w:val="auto"/>
        </w:rPr>
        <w:t>expensive, potentially diverting resources from other aspects of our business, and we could be subject to legal actions, including fines and penalties, if we fail to comply with these requirements, any of which may adversely impact our business and results of operations. Our</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business could be adversely affected while such review is ongoing, and if we or our supplier are ultimately unable to obtain premarket clearance, approval or de novo classification. In addition, we may require cooperation in our filings for FDA clearance, approval or de novo classification from third-party manufacturers of the components of our tests. If we are unable to obtain such required cooperation, we may be unable to achieve the desired regulatory clearances, approvals or de novo classifications or may be delayed or be required to expend additional costs and other resources in doing so. Moreover, if FDA premarket clearance, approval or de novo classification is required, our revenue or cash flows may be adversely affected until we obtain such clearance, approval or de novo classification, as most third-party payors, including Medicaid, will not reimburse for use of medical devices which are required to, but which do not, have marketing authorization.</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Furthermore, the FDA or the Federal Trade Commission (FTC), as well as state consumer protection agencies, may object to the materials and methods we use to promote the use of our current tests or other LDTs we may develop in the future, and may initiate enforcement actions against us. Enforcement actions by the FDA may include, among others, untitled or warning letters; fines; injunctions; civil or criminal</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penalties; recall or seizure of current or future tests, products or services; operating restrictions and partial suspension or total shutdown of production. Enforcement actions by the FTC and state consumer protection agencies may include, among others, injunctions, civil penalties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equitable monetary relief, any of which may adversely impact our business, financial position and results of operations.</w:t>
      </w:r>
    </w:p>
    <w:p>
      <w:pPr>
        <w:spacing w:after="0" w:line="22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Changes in the way the FDA regulates the reagents, other consumables, and testing equipment we use when developing, validating, and performing our tests could result in delay or additional expense in bringing our tests to market or performing such tests for our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Many of the sequencers, reagents, kits and other consumable products used to perform our testing, as well as the instruments and other capital equipment that enable the testing, are labeled as for research use only (RUO). Products utilized in our tests that are intended for research use only and are labeled as RUO are exempt from compliance with FDA requirements, including the approval, clearance or de novo classification and other product quality requirements for medical devices. A product labeled RUO but which is actually intended by the manufacturer for molecular diagnostic use may be viewed by the FDA as adulterated and misbranded under the FDC Act and subject to FDA enforcement action. The FDA has issued guidance stating that when determining the intended use of a product labeled RUO, it will consider the totality of the circumstances surrounding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distribution of the product, including how the product is marketed and to whom. In addition, many of the reagents used to perform our testing are offered for sale as analyte specific reagents (ASRs). ASRs are medical devices and must comply with QSR provisions and other device requirements, but most are exempt from premarket review. The FDA could disagree with a manufacturer’s assessment that the manufacturer’s products are ASRs, or could conclude that products labeled as RUO are actually intended by the manufacturer for molecular diagnostic use, and could take enforcement action against the manufacturer, including requiring the manufacturer to cease offering the product while it seeks clearance, approval or de novo classification. Manufacturers of RUO products that we employ in our tests may cease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selling their respective products, and we may be unable to obtain an acceptable substitute on commercially reasonable terms or at all, which could significantly and adversely affect our ability to provide timely testing results to our customers or could significantly increase our costs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conducting business.</w:t>
      </w:r>
    </w:p>
    <w:p>
      <w:pPr>
        <w:spacing w:after="0" w:line="22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sequencers and reagents used in processing our tests are generally labeled as RUO in the United States. We are using these sequencers and reagents for molecular diagnostic use. If the FDA were to require clearance, approval or de novo classification for the sale of these sequencers or reagents and if the applicable manufacturer does not obtain such clearance, approval or authorization, we would have to find an alternative sequencing platform. If we were not successful in selecting, acquiring on commercially reasonable terms and implementing an alternative platform on a timely basis, our business, financial condition and results of operations would be adversely affected.</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actual or perceived failure to comply with those laws and regulations or to adequately secure the information in our possession could result in significant liability or reputational harm.</w:t>
      </w:r>
    </w:p>
    <w:p>
      <w:pPr>
        <w:spacing w:after="0" w:line="19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subject to numerous state, federal and foreign laws, requirements and regulations governing the collection, use, disclosure, retention and security of personal information. We collect, process, maintain, retain, evaluate, utilize and distribute large amounts of personal health</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and financial information and other confidential and sensitive data about customers, patients and others in the ordinary course of our business. Concerns about and claims challenging our practices with regard to the collection, use, retention, disclosure or security of personally identifiable information or other privacy-related matters, even if unfounded, could damage our reputation and harm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we seek to expand our business, we are, and will increasingly become, subject to various laws, regulations and standards, as well as contractual obligations, relating to the collection, use, retention, security, disclosure, transfer and other processing of sensitive and personal information in the jurisdictions in which we operate. In many cases, these laws, regulations and standards apply not only to third-party transactions, but also to transfers of information between or among us and other parties with which we have commercial relationships. These laws, regulations and standards are interpreted and applied differently over time and from jurisdiction to jurisdiction, and it is possible that they will be interpreted and applied in ways that will materially and adversely affect our business, financial condition and results of operations. The regulatory framework for data privacy, data security and data transfers worldwide is rapidly evolving and, as a result, interpretation and implementation standards and enforcement practices are likely to remain uncertain for the foreseeable future.</w:t>
      </w:r>
    </w:p>
    <w:p>
      <w:pPr>
        <w:spacing w:after="0" w:line="207"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Numerous federal, state and foreign laws and regulations govern collection, dissemination, use and confidentiality of PHI, including: the federal Health Insurance Portability and Accountability Act of 1996, as amended by the Health Information Technology for Economic and</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Clinical Health Act of 2009, and regulations promulgated thereunder (collectively, HIPAA); state privacy and confidentiality laws (including state laws requiring disclosure of breaches); federal and state consumer protection and employment laws; and European and other foreign data protection laws. In addition to government regulation, privacy advocates and industry groups have and may in the future propose self-regulatory standards, which may legally or contractually apply to us or which we may elect to comply with such standards. Implementation standards and enforcement practices are likely to remain uncertain for the foreseeable future, and we cannot yet determine the impact future laws, regulations, standards or perception of their requirements may have on our business. This evolution often creates uncertainty in our business, affect our ability to operate in certain jurisdictions,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laws or regulation, our internal policies and procedures or our contracts governing processing of personal information could result in negative publicity, government investigations and enforcement actions, claims by</w:t>
      </w:r>
    </w:p>
    <w:p>
      <w:pPr>
        <w:spacing w:after="0" w:line="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third parties and damage to our reputation, any of which could have a material adverse effect on our operations, financial performance and business.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 covered entity under HIPAA, and therefore, must comply with its requirements to protect the privacy and security of PHI and must provide individuals with certain rights with respect to their PHI. We currently, and will in the future, engage business associates to help us carry out healthcare activities and functions. For each such business associate, we must have a written business associate contract or other arrangement with the business associate that requires the business associate to comply with the same standards and safeguards and other requirements under HIPAA. We cannot guarantee that our security safeguards or those of our business associates will not fail or that they will not be deemed inadequate in the future. Determining whether PHI has been handled in compliance with applicable privacy standards and</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our contractual obligations can be complex and we cannot be sure how these regulations will be interpreted, enforced or applied to our operations.</w:t>
      </w: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Entities that are found to be in violation of HIPAA as the result of a breach of unsecured PHI, a complaint about privacy practices or an audit by the U.S. Department of Health and Human Services (HHS) can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 person who knowingly obtains or discloses individually identifiable health information in violation of HIPAA may face additional fines and up to one-year imprisonment. In addition, our responding to government investigations regarding alleged violations of these and other laws and regulations, even if ultimately successful, can consume company resources, impact our business and, if public, harm our reputation.</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Further, various states have implemented similar privacy laws and regulations, such as the California Confidentiality of Medical Information Act, that impose restrictive requirements regulating the use and disclosure of health information and other personally identifiable information.</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 addition, certain state laws may require us under certain circumstances to provide information, upon request, regarding the manner in which we share certain categories of personal information with third parties for marketing or other purposes (e.g. California Shine the Light</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law). These laws and regulations are not necessarily preempted by HIPAA, and where state laws are more protective, we may have to comply with the stricter provisions. These state data privacy laws are not consistent, and compliance in the event of a widespread data breach is costly. In addition to fines and penalties potentially imposed upon violators, some of these state laws also afford private rights of action to individuals who believe their personal information has been misused. Furthermore, the FTC, and certain state Attorneys General can enforce federal or state consumer protection laws against companies for online collection, use, dissemination and security practices that appear to be unfair or deceptive. The interplay of federal and state laws may be subject to varying interpretations by courts and government agencies.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employees and personnel use generative artificial intelligence (AI) and machine learning (ML) technologies (collectively, AI/ML) to perform their work, and the disclosure and use of personal data in AI/ML is subject to various privacy laws and other privacy obligations. We use AI/ML for a variety of internal processes, including to draft sales emails, conduct product research, automate reimbursement processing, and draft code. While we supplement our usage of AI with quality checks and review processes, AI models can produce inaccurate, biased,</w:t>
      </w:r>
    </w:p>
    <w:p>
      <w:pPr>
        <w:ind w:right="260"/>
        <w:spacing w:after="0" w:line="226" w:lineRule="auto"/>
        <w:rPr>
          <w:sz w:val="20"/>
          <w:szCs w:val="20"/>
          <w:color w:val="auto"/>
        </w:rPr>
      </w:pPr>
      <w:r>
        <w:rPr>
          <w:rFonts w:ascii="Arial" w:cs="Arial" w:eastAsia="Arial" w:hAnsi="Arial"/>
          <w:sz w:val="18"/>
          <w:szCs w:val="18"/>
          <w:color w:val="auto"/>
        </w:rPr>
        <w:t>or incomplete outputs that may affect decision-making or generate erroneous results in critical workflows. Our use of this technology could result in additional compliance costs, regulatory investigations and actions, and lawsuits. If we are unable to use AI/ML, it could make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less efficient and result in competitive disadvantages.</w:t>
      </w:r>
    </w:p>
    <w:p>
      <w:pPr>
        <w:spacing w:after="0" w:line="22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use AI/ML to assist us in making certain decisions, which is regulated by certain privacy laws. Specifically, we use AI to accelerate the reading of data on test requisition forms that arrive with our tests to our labs during sample accessioning. Based on that data read, the samples are assigned a distinct testing workflow. We manually validate the AI data read after accessioning to confirm the appropriate procedure is followed; however, this validation is subject to human error. Inaccuracies or flaws in the inputs, outputs, or logic of the AI/ML often lead to bias in the models and could lead us to make decisions that adversely impact the rights, employment, and ability of individuals or classes of individuals to obtain certain pricing, products, services, or benefits. We also use AI, including AI/ML in our products and services. The development and use of AI/ML present various privacy and security risks that may impact our business. AI/ML are subject to privacy and data security laws, as well as increasing regulation and scrutiny. While we have implemented robust controls, validations, and human oversight to mitigate the risks of the aforementioned biases and inaccuracies, these measures may not be found sufficient by current or future privacy and data security laws.</w:t>
      </w:r>
    </w:p>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Several jurisdictions around the globe, including Europe and certain U.S. states, have proposed enacted, or are considering laws governing the development and use of AI/ML, such as the EU’s AI Act. We expect other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especially with respect to genetic samples and data, in the United States, European Economic Area (EEA) and elsewhere are often uncertain, contradictory and in flux. The General</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Data Protection Regulation (GDPR) and other privacy laws and regulations related to the use, transfer, and protection of data impose obligations to the extent we test EU citizens or expand internationally. While we believe that our current processes and practices comply with the GDPR, we may need to expend considerable time and resources, including management attention, to revise our practices to ensure ongoing compliance with GDPR.</w:t>
      </w:r>
    </w:p>
    <w:p>
      <w:pPr>
        <w:spacing w:after="0" w:line="20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Some of the above privacy laws and regulations in many cases may be more restrictive than, and may not be preempted by, HIPAA and its implementing rules. In addition, some countries have stricter consumer notice and/or consent requirements relating to personal data collection, use or sharing, more stringent requirements relating to organizations’ privacy programs and provide stronger individual rights. Failure to comply with GDPR and other applicable privacy or data security-related laws, rules or regulations in the EEA and elsewhere could have an adverse effect on our business, financial condition and results of operations.</w:t>
      </w:r>
    </w:p>
    <w:p>
      <w:pPr>
        <w:spacing w:after="0" w:line="203"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We expect that there will continue to be new proposed laws and regulations in the U.S. and internationally concerning data privacy and security, and we cannot yet determine the impact such future laws, regulations and standards may have on our business. Because the</w:t>
      </w:r>
    </w:p>
    <w:p>
      <w:pPr>
        <w:ind w:right="380"/>
        <w:spacing w:after="0" w:line="226" w:lineRule="auto"/>
        <w:rPr>
          <w:sz w:val="20"/>
          <w:szCs w:val="20"/>
          <w:color w:val="auto"/>
        </w:rPr>
      </w:pPr>
      <w:r>
        <w:rPr>
          <w:rFonts w:ascii="Arial" w:cs="Arial" w:eastAsia="Arial" w:hAnsi="Arial"/>
          <w:sz w:val="18"/>
          <w:szCs w:val="18"/>
          <w:color w:val="auto"/>
        </w:rPr>
        <w:t>interpretation and application of laws, regulations, standards and other obligations relating to data privacy and security are still uncertain, these laws, regulations, standards and other obligations could be interpreted and applied in a manner that is inconsistent with our data</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processing practices and policies or the features of our products. In such cases, changes or modifications to our data processing practices and policies to comply with such interpretations in a commercially reasonable manner would be difficult.</w:t>
      </w:r>
    </w:p>
    <w:p>
      <w:pPr>
        <w:spacing w:after="0" w:line="19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will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policy or with any legal or regulatory requirements, standards, certifications or orders or other privacy or consumer protection-related laws and regulations applicable to us could cause our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and others. Concerns about our practices with regard to the collection, use, retention, security, disclosure, transfer and other processing of personal information or other privacy-related matters, even if unfounded, could damage our reputation and materially and adversely affect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business, financial condition and results of operations.</w:t>
      </w:r>
    </w:p>
    <w:p>
      <w:pPr>
        <w:spacing w:after="0" w:line="223"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We conduct business in a heavily regulated industry, and changes in regulations or violations of regulations may, directly or indirectly, reduce our revenue, adversely affect our results of operations and financial condition, and harm our business.</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molecular diagnostics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196" w:lineRule="exact"/>
        <w:rPr>
          <w:sz w:val="20"/>
          <w:szCs w:val="20"/>
          <w:color w:val="auto"/>
        </w:rPr>
      </w:pPr>
    </w:p>
    <w:p>
      <w:pPr>
        <w:ind w:left="660" w:right="520" w:hanging="328"/>
        <w:spacing w:after="0" w:line="24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state and foreign laws applicable to test ordering, documentation of tests ordered, billing practices and claims payment and/or regulatory agencies enforcing those laws and regulations;</w:t>
      </w:r>
    </w:p>
    <w:p>
      <w:pPr>
        <w:ind w:left="66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state and foreign health care fraud and abuse laws;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state and foreign laboratory anti-mark-up laws;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coverage and reimbursement levels by Medicare, Medicaid, other governmental payors and private insurers;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coverage of and reimbursement for tests;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and foreign laws governing laboratory testing, including CLIA, and state licensing laws;</w:t>
      </w:r>
    </w:p>
    <w:p>
      <w:pPr>
        <w:ind w:left="660" w:right="520" w:hanging="328"/>
        <w:spacing w:after="0" w:line="23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and foreign laws and enforcement policies governing the development, use and distribution of diagnostic medical devices;</w:t>
      </w:r>
    </w:p>
    <w:p>
      <w:pPr>
        <w:spacing w:after="0" w:line="1" w:lineRule="exact"/>
        <w:rPr>
          <w:rFonts w:ascii="Arial" w:cs="Arial" w:eastAsia="Arial" w:hAnsi="Arial"/>
          <w:sz w:val="18"/>
          <w:szCs w:val="18"/>
          <w:color w:val="auto"/>
        </w:rPr>
      </w:pPr>
    </w:p>
    <w:p>
      <w:pPr>
        <w:ind w:left="660" w:right="400" w:hanging="328"/>
        <w:spacing w:after="0" w:line="22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regulations governing the marketing of molecular diagnostic tests, including by the FDA pursuant to the medical device provisions of the Federal Food, Drug and Cosmetic Act or FDCA;</w:t>
      </w:r>
    </w:p>
    <w:p>
      <w:pPr>
        <w:spacing w:after="0" w:line="1" w:lineRule="exact"/>
        <w:rPr>
          <w:rFonts w:ascii="Arial" w:cs="Arial" w:eastAsia="Arial" w:hAnsi="Arial"/>
          <w:sz w:val="18"/>
          <w:szCs w:val="18"/>
          <w:color w:val="auto"/>
        </w:rPr>
      </w:pPr>
    </w:p>
    <w:p>
      <w:pPr>
        <w:ind w:left="660" w:right="160" w:hanging="328"/>
        <w:spacing w:after="0" w:line="23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regulation, via the FDCA and its implementing regulations, of the research, design, testing, manufacturing, safety, labeling, storage, recordkeeping, premarket clearance or approval, marketing and promotion and sales and distribution of medical devices in the United States;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regulation of the import and export of medical devices;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and enforcement policies governing the use of AI in analyzing data, including data in healthcare-related areas;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local and foreign laws governing the handling and disposal of medical and hazardous waste;</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Occupational Safety and Health Administration rules and regulations;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GDPR, CCPA, CPRA and similar state or foreign data privacy and security laws;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protection laws.</w:t>
      </w: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Changes in the current regulatory framework for algorithmic diagnostic products and services can impose additional regulatory burdens on us. The FDA is currently considering the development of novel regulatory pathways for AI technologies and other software. As the regulatory framework evolves, we may incur substantial costs to ensure compliance with new or amended laws and regulations. Failure to comply with</w:t>
      </w:r>
    </w:p>
    <w:p>
      <w:pPr>
        <w:spacing w:after="0" w:line="2"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any of these laws and regulations could result in enforcement actions against us or damage to our reputation, any of which could have a material adverse effect on our business, financial condition and results of operations.</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laboratory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commercial third-party payors, for laboratory testing services. In addition to the CLIA certification, our laboratory is CAP-accredited, which is a voluntary program that many molecular diagnostic labs participate in. CAP is a deemed agency by the CMS for the CLIA program. As a condition of CLIA certification, our laboratory is subject to survey and inspection every two years conducted by CAP, in addition to being subject to additional CMS follow up or complaint inspections. Sanctions for failure to comply with CLIA regulations, including proficiency testing violations, may</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include suspension, revocation, or limitation of a laboratory’s CLIA certificate (and exclude persons or entities from owning, operating or directing a laboratory for two years following such revocation), which is necessary to conduct business, as well as the imposition of significant</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fines or criminal penalties. In addition, we are subject to regulation under certain state laws and regulations governing laboratory licensure (including California, New York, Maryland, Pennsylvania, Rhode Island and the District of Columbia), some of which have enacted laboratory standards that are more stringent than CLIA. Some states require that we hold licenses or permits to test samples from patients in those states, even if our laboratory facilities are not located in those states, and as a result we are also required to maintain standards related to those states’ licensure requirements to conduct testing in our laboratory.</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we are found to be out of compliance with state requirements, the applicable state regulator may suspend, restrict or revoke our license or laboratory permit (and, with respect to California, may exclude persons or entities from owning, operating or directing a laboratory for two years following such license revocation), assess civil monetary penalties, or impose specific corrective action plans, among other sanctions. We cannot assure you that the regulators in any state from which we have obtained a required license or permit will find us to be in compliance with the applicable laws of their respective state at all times, which may result in suspension, limitation, revocation or annulment</w:t>
      </w:r>
    </w:p>
    <w:p>
      <w:pPr>
        <w:spacing w:after="0" w:line="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 our laboratory’s license for that state or negative impact to our CLIA certificate, censure or civil monetary penalties, and would result in our inability to test samples from patients in that state. Any such consequences could materially and adversely affect our business by prohibiting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limiting our ability to offer testing.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 Changes in state or foreign licensure laws that affect our ability to offer and provide molecular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Companion and complementary diagnostic tests require FDA approval, and we may not be able to secure such approval in a timely manner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 global partnership with Johnson &amp; Johnson to provide our UNITY Fetal Antigen CTA (Clinical Trial Assay) in their AZALEA Phase 3 clinical trial of nipocalimab in pregnancies at risk for severe hemolytic disease of fetus and newborn (HDFN), and a related U.S.-specific partnership regarding development of a companion diagnostic product. We may enter into additional partnerships with other pharmaceutical companies. 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20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take a significant period of time;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involve rigorous pre-clinical testing, as well as increased post-market surveillance;</w:t>
      </w: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changes to products;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in limitations on the indicated uses of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whether or when we will be able to obtain FDA approval for companion diagnostics that we may develop.</w:t>
      </w:r>
    </w:p>
    <w:p>
      <w:pPr>
        <w:spacing w:after="0" w:line="241"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16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There have been in the past, and we anticipate there will continue to be in the future, proposals by legislators at both the federal and state levels and in foreign jurisdictions, regulators and commercial and government payors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payors. For example, the Patient Protection and Affordable Care Act (ACA), adopted in 2010, substantially changed the way healthcare is financed by both commercial third-party payors and government payors, and significantly impacted our industry, required disclosures of financial arrangements with physician customers, required reporting of discovered overpayments, lower thresholds for violations, new government investigative powers, and</w:t>
      </w:r>
    </w:p>
    <w:p>
      <w:pPr>
        <w:spacing w:after="0" w:line="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enhanced penalties for such violations. On August 2, 2011, the Budget Control Act of 2011 was signed into law, which, among other things, reduced Medicare payments to providers, effective on April 1, 2013 and, due to subsequent legislative amendments to the statute,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 in effect through 2032, unless additional Congressional action is taken.</w:t>
      </w:r>
    </w:p>
    <w:p>
      <w:pPr>
        <w:spacing w:after="0" w:line="22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Government healthcare policy has been and will likely continue to be a topic of extensive legislative and executive activity in the U.S. federal government, particularly given the recent change in administrations, and many U.S. state governments. The current presidential administration is pursuing policies to reduce regulations and expenditures across government including at HHS, the FDA, CMS and related agencies. These actions, presently directed by executive orders or memoranda from the Office of Management and Budget, propose policy changes that create additional uncertainty for our business. These actions, for example, include directives to reduce agency workforce, program cuts, eliminating the Biden administration’s executive order that directed HHS to establishing an AI task force and developing a strategic plan, and directing certain federal agencies to enforce existing law regarding hospital and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Loper Bright decision could result in additional legal challenges to current regulations and guidance issued by federal agencies applicable to our operations, including those issued by the FDA. We cannot predict whether future healthcare initiatives will be implemented at the federal or state level or how any such future legislation, regulation or initiative may affect us. Current or potential future federal legislation and the expansion of government’s role in the U.S. healthcare industry, changes to the reimbursement amounts paid by third-party payors for our current and future tests, or limited or inadequate funding for regulatory authorities, may adversely affect our test volumes and adversely affect our business, financial condition, results of operations and cash flows.</w:t>
      </w:r>
    </w:p>
    <w:p>
      <w:pPr>
        <w:spacing w:after="0" w:line="208"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w:t>
      </w:r>
    </w:p>
    <w:p>
      <w:pPr>
        <w:spacing w:after="0"/>
        <w:rPr>
          <w:sz w:val="20"/>
          <w:szCs w:val="20"/>
          <w:color w:val="auto"/>
        </w:rPr>
      </w:pPr>
      <w:r>
        <w:rPr>
          <w:rFonts w:ascii="Arial" w:cs="Arial" w:eastAsia="Arial" w:hAnsi="Arial"/>
          <w:sz w:val="18"/>
          <w:szCs w:val="18"/>
          <w:b w:val="1"/>
          <w:bCs w:val="1"/>
          <w:i w:val="1"/>
          <w:iCs w:val="1"/>
          <w:color w:val="auto"/>
        </w:rPr>
        <w:t>material adverse effect to our business and results of operations.</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may include, among others:</w:t>
      </w:r>
    </w:p>
    <w:p>
      <w:pPr>
        <w:spacing w:after="0" w:line="181" w:lineRule="exact"/>
        <w:rPr>
          <w:sz w:val="20"/>
          <w:szCs w:val="20"/>
          <w:color w:val="auto"/>
        </w:rPr>
      </w:pPr>
    </w:p>
    <w:p>
      <w:pPr>
        <w:ind w:left="660" w:right="8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(AKS), which prohibits knowingly and willfully offering, paying, soliciting or receiving remuneration, directly or indirectly, overtly or covertly, in cash or in kind (e.g. provision of free or discounted goods, services or items), in exchange for or to induce either the referral of an individual for, or the purchase, order or recommendation of, any good or service for which payment may be made under federal health care programs, such as Medicare, unless a safe harbor applies;</w:t>
      </w:r>
    </w:p>
    <w:p>
      <w:pPr>
        <w:ind w:left="660" w:hanging="328"/>
        <w:spacing w:after="0" w:line="23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Eliminating Kickbacks in Recovery Act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billed to either commercial third-party payors or government payors;</w:t>
      </w:r>
    </w:p>
    <w:p>
      <w:pPr>
        <w:spacing w:after="0" w:line="2" w:lineRule="exact"/>
        <w:rPr>
          <w:rFonts w:ascii="Arial" w:cs="Arial" w:eastAsia="Arial" w:hAnsi="Arial"/>
          <w:sz w:val="18"/>
          <w:szCs w:val="18"/>
          <w:color w:val="auto"/>
        </w:rPr>
      </w:pPr>
    </w:p>
    <w:p>
      <w:pPr>
        <w:ind w:left="660" w:right="10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Stark Law and similar state laws,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w:t>
      </w:r>
    </w:p>
    <w:p>
      <w:pPr>
        <w:spacing w:after="0" w:line="3" w:lineRule="exact"/>
        <w:rPr>
          <w:rFonts w:ascii="Arial" w:cs="Arial" w:eastAsia="Arial" w:hAnsi="Arial"/>
          <w:sz w:val="18"/>
          <w:szCs w:val="18"/>
          <w:color w:val="auto"/>
        </w:rPr>
      </w:pPr>
    </w:p>
    <w:p>
      <w:pPr>
        <w:ind w:left="660" w:right="10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 w:lineRule="exact"/>
        <w:rPr>
          <w:rFonts w:ascii="Arial" w:cs="Arial" w:eastAsia="Arial" w:hAnsi="Arial"/>
          <w:sz w:val="18"/>
          <w:szCs w:val="18"/>
          <w:color w:val="auto"/>
        </w:rPr>
      </w:pPr>
    </w:p>
    <w:p>
      <w:pPr>
        <w:ind w:left="660" w:right="18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“Anti-Markup” rules, which, among other things, typically prohibit a physician or supplier billing for molecular diagnostic tests (with certain exceptions) from marking up the price of a purchased test performed by another physician or supplier that does not “share a practice” with the billing physician or supplier;</w:t>
      </w:r>
    </w:p>
    <w:p>
      <w:pPr>
        <w:spacing w:after="0" w:line="2" w:lineRule="exact"/>
        <w:rPr>
          <w:rFonts w:ascii="Arial" w:cs="Arial" w:eastAsia="Arial" w:hAnsi="Arial"/>
          <w:sz w:val="18"/>
          <w:szCs w:val="18"/>
          <w:color w:val="auto"/>
        </w:rPr>
      </w:pPr>
    </w:p>
    <w:p>
      <w:pPr>
        <w:ind w:left="660" w:right="60" w:hanging="328"/>
        <w:spacing w:after="0" w:line="23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government may bring a lawsuit under the False Claims Act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w:t>
      </w:r>
    </w:p>
    <w:p>
      <w:pPr>
        <w:ind w:left="660" w:right="34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3"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laws related to, among other things, unlawful schemes to defraud, excessive fees for services, unlawful trade practices, insurance fraud, kickbacks, patient inducement and statutory or</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920"/>
        <w:spacing w:after="0" w:line="245" w:lineRule="auto"/>
        <w:rPr>
          <w:sz w:val="20"/>
          <w:szCs w:val="20"/>
          <w:color w:val="auto"/>
        </w:rPr>
      </w:pPr>
      <w:r>
        <w:rPr>
          <w:rFonts w:ascii="Arial" w:cs="Arial" w:eastAsia="Arial" w:hAnsi="Arial"/>
          <w:sz w:val="18"/>
          <w:szCs w:val="18"/>
          <w:color w:val="auto"/>
        </w:rPr>
        <w:t>common law fraud restrict the provision of products, services or items for free or at reduced charge to government or non-government healthcare program beneficiaries;</w:t>
      </w:r>
    </w:p>
    <w:p>
      <w:pPr>
        <w:ind w:left="660" w:right="28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state anti-kickback, self-referrals, false claims and anti-markup laws, any of which may extend to services reimbursable by any payor, including private insurers; and</w:t>
      </w:r>
    </w:p>
    <w:p>
      <w:pPr>
        <w:spacing w:after="0" w:line="1" w:lineRule="exact"/>
        <w:rPr>
          <w:rFonts w:ascii="Arial" w:cs="Arial" w:eastAsia="Arial" w:hAnsi="Arial"/>
          <w:sz w:val="18"/>
          <w:szCs w:val="18"/>
          <w:color w:val="auto"/>
        </w:rPr>
      </w:pPr>
    </w:p>
    <w:p>
      <w:pPr>
        <w:ind w:left="660" w:right="380" w:hanging="328"/>
        <w:spacing w:after="0" w:line="23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payors; or employing, exercising control over or splitting fees with licensed medical professionals.</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Any action brought against us for violation of these laws or regulations, even if we successfully defend against it, could cause us to incur significant legal expenses and divert our management’s attention from the operation of our business.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and employees. These laws are designed to prevent interference in the medical decision-making process by anyone who is not a licensed medical professional. For example, California’s Medical Board has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w:t>
      </w:r>
    </w:p>
    <w:p>
      <w:pPr>
        <w:spacing w:after="0" w:line="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our business practices, including our consulting and advisory board arrangements with physicians and other healthcare providers, do not comply with current or future corporate practice of medicine or healthcare fraud and abuse statutes, regulations, agency guidance or case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growth of our business, including any international expansion, may increase the potential of violating applicable laws and regulations.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w:t>
      </w:r>
    </w:p>
    <w:p>
      <w:pPr>
        <w:spacing w:after="0" w:line="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business or revenue. Additionally, we could be required to refund payments received by us, and we could be required to curtail or cease our operations. Any of the foregoing consequences could seriously harm our business, financial condition, and results of operations. In addition,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spacing w:after="0" w:line="209"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other anti-corruption laws, as well as export control laws, import and customs laws, trade and economic sanctions laws and other laws governing our operations.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Our operations are subject to anti-corruption laws, including the U.S. Foreign Corrupt Practices Act of 1977, as amended (FCPA), the U.S. domestic bribery statute contained in 18 U.S.C. §201, the U.S. Travel Act, and other anti-corruption laws that apply in countries where we do business, collectively referred to as Anti-Bribery/Anti-Corruption laws. The FCPA and these other laws generally prohibit us and our</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employees and intermediaries from authorizing, promising, offering, or providing, directly or indirectly, improper or prohibited payments, or anything else of value, to government officials or other persons to obtain or retain business or gain some other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business advantage.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While we have adopted policies and practices to meet the requirements of these laws and regulations, there is no assurance that we will be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completely effective in ensuring our compliance with all applicable Anti-Bribery/Anti-Corruption laws and Trade Control laws. If we are not in compliance with such laws, we may be subject to criminal and civil penalties, disgorgement and other sanctions and remedial measures, and</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legal expenses, which could have an adverse impact on our business, financial condition, results of operations and liquidity. Likewise, any investigation of any potential violations of such laws by the United States or other international authorities could also have an adverse impact on our reputation, our business, results of operations and financial condition.</w:t>
      </w:r>
    </w:p>
    <w:p>
      <w:pPr>
        <w:spacing w:after="0" w:line="20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i w:val="1"/>
          <w:iCs w:val="1"/>
          <w:color w:val="auto"/>
        </w:rPr>
        <w:t>If the validity of an informed consent from a patient intake for any of our tests is challenged, we could be precluded from billing for such testing, forced to stop performing such tests or required to repay amounts previously received, which would adversely affect our business and financial results.</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clinical data and blood samples that we receive for genetic testing are required to have been collected from individuals who have provided appropriate informed consent for us to perform our testing, both commercially and in clinical trials. The collection of data and samples in many different U.S. states results in complex legal questions regarding the adequacy of informed consent and the status of genetic material under different legal systems. The individual’s informed consent obtained could be challenged in the future in any particular jurisdiction, and those informed consents could be deemed invalid, unlawful or otherwise inadequate for our purposes. Any findings against us could deny us</w:t>
      </w:r>
    </w:p>
    <w:p>
      <w:pPr>
        <w:spacing w:after="0" w:line="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access to, or force us to stop testing samples in, a particular jurisdiction or could call into question the results of our tests. We could also be precluded from billing third-party payors for tests for which informed consents are challenged, or could be requested to refund amounts</w:t>
      </w:r>
    </w:p>
    <w:p>
      <w:pPr>
        <w:spacing w:after="0" w:line="2" w:lineRule="exact"/>
        <w:rPr>
          <w:sz w:val="20"/>
          <w:szCs w:val="20"/>
          <w:color w:val="auto"/>
        </w:rPr>
      </w:pPr>
    </w:p>
    <w:p>
      <w:pPr>
        <w:ind w:right="920"/>
        <w:spacing w:after="0" w:line="250" w:lineRule="auto"/>
        <w:rPr>
          <w:sz w:val="20"/>
          <w:szCs w:val="20"/>
          <w:color w:val="auto"/>
        </w:rPr>
      </w:pPr>
      <w:r>
        <w:rPr>
          <w:rFonts w:ascii="Arial" w:cs="Arial" w:eastAsia="Arial" w:hAnsi="Arial"/>
          <w:sz w:val="18"/>
          <w:szCs w:val="18"/>
          <w:color w:val="auto"/>
        </w:rPr>
        <w:t>previously paid by third-party payors for such tests. We could become involved in legal challenges, which could require significant management and financial resources and adversely affect our revenue and results of operations.</w:t>
      </w:r>
    </w:p>
    <w:p>
      <w:pPr>
        <w:spacing w:after="0" w:line="20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A correction or removal of our products, either voluntarily or at the direction of the FDA or another governmental authority, or the discovery of serious safety issues with our products, could have a significant adverse impact on us.</w:t>
      </w:r>
    </w:p>
    <w:p>
      <w:pPr>
        <w:spacing w:after="0" w:line="1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FDA has the authority to require the recall of commercialized products that are subject to FDA regulation in the event of material deficiencies or defects in design or manufacture. The authority to require a recall must be based on an FDA finding that there is reasonable probability that the device would cause serious, adverse health consequences or death. The collection kits that are supplied to us by a third party could be subject to a recall. Additionally, our tests may be subject to other types of field actions or corrections, which could impair our ability to produce our products in a cost-effective and timely manner and have an adverse effect on our reputation, results of operations and financial condition. Additionally, we may be subject to liability claims, may be required to bear costs or may take other actions that may have a negative impact on our financial position.</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w:t>
      </w:r>
    </w:p>
    <w:p>
      <w:pPr>
        <w:spacing w:after="0" w:line="1" w:lineRule="exact"/>
        <w:rPr>
          <w:sz w:val="20"/>
          <w:szCs w:val="20"/>
          <w:color w:val="auto"/>
        </w:rPr>
      </w:pPr>
    </w:p>
    <w:p>
      <w:pPr>
        <w:jc w:val="both"/>
        <w:ind w:right="360"/>
        <w:spacing w:after="0" w:line="242" w:lineRule="auto"/>
        <w:rPr>
          <w:sz w:val="20"/>
          <w:szCs w:val="20"/>
          <w:color w:val="auto"/>
        </w:rPr>
      </w:pPr>
      <w:r>
        <w:rPr>
          <w:rFonts w:ascii="Arial" w:cs="Arial" w:eastAsia="Arial" w:hAnsi="Arial"/>
          <w:sz w:val="18"/>
          <w:szCs w:val="18"/>
          <w:color w:val="auto"/>
        </w:rPr>
        <w:t>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0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use of hazardous materials in the development of our tests exposes us to risks related to accidental contamination or injury and requires us to comply with regulations governing hazardous waste materials.</w:t>
      </w:r>
    </w:p>
    <w:p>
      <w:pPr>
        <w:spacing w:after="0" w:line="16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operations involve the controlled use of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In addition, we are subject on an ongoing basis to federal, state and local regulations governing the use, storage, handling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disposal of these materials and specified hazardous waste materials.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An increase in the costs of compliance with such laws and regulations could harm our business and results of operations.</w:t>
      </w:r>
    </w:p>
    <w:p>
      <w:pPr>
        <w:spacing w:after="0" w:line="205"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Even if we receive regulatory approval or certification of our products, we will continue to be subject to extensive regulatory oversight.</w:t>
      </w:r>
    </w:p>
    <w:p>
      <w:pPr>
        <w:spacing w:after="0" w:line="153" w:lineRule="exact"/>
        <w:rPr>
          <w:sz w:val="20"/>
          <w:szCs w:val="20"/>
          <w:color w:val="auto"/>
        </w:rPr>
      </w:pPr>
    </w:p>
    <w:p>
      <w:pPr>
        <w:jc w:val="both"/>
        <w:ind w:right="480"/>
        <w:spacing w:after="0" w:line="255" w:lineRule="auto"/>
        <w:rPr>
          <w:sz w:val="20"/>
          <w:szCs w:val="20"/>
          <w:color w:val="auto"/>
        </w:rPr>
      </w:pPr>
      <w:r>
        <w:rPr>
          <w:rFonts w:ascii="Arial" w:cs="Arial" w:eastAsia="Arial" w:hAnsi="Arial"/>
          <w:sz w:val="17"/>
          <w:szCs w:val="17"/>
          <w:color w:val="auto"/>
        </w:rPr>
        <w:t>Medical devices are subject to extensive regulation by the FDA. The FDA had historically taken the position that it had the authority to regulate LDTs as medical devices under the FD&amp;C Act but exercised enforcement discretion until it recently rescinded LDT regulations indicating that it does not have the authority to require clearance, de novo classification, or approval of LDTs prior to market release.</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However, if any of our molecular diagnostic products become subject to FDA approval requirements, and are subsequently approved by the FDA,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as a condition of approving a PMA,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and revenue.</w:t>
      </w:r>
    </w:p>
    <w:p>
      <w:pPr>
        <w:spacing w:after="0" w:line="20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FDA and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Similar requirements apply in foreign jurisdictions.</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products;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refusing our requests for clearances or approvals of new products, new intended uses or modifications to existing products;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withdrawals of current clearances, approvals or certifications, resulting in prohibitions on sales of our products;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issue certificates needed to export products for sale in other countries;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of our products and have a material adverse effect on our reputation, business, results of operations and financial condition. In addition, the FDA may change its clearance and approval policies, adopt additional regulations or revise existing regulations, or take other actions which may prevent or delay approval or clearance of our current or future products under development.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(ISO) standards. This proposal has not yet been finalized or adopted. Accordingly, it is unclear the extent to which any proposals, if adopted, could impose increased costs of compliance, or otherwise negatively affect our business. Additionally, in September 2019, the FDA issued revised final guidance describing an optional “safety and performance based” premarket review pathway for manufacturers of “certain,</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similar to ours, and it is unclear the extent to which such performance standards, if established, could impact our ability to obtain marketing authorization or otherwise create competition that may negatively affect our business.</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marketing authorization of any product candidates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24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w:t>
      </w:r>
    </w:p>
    <w:p>
      <w:pPr>
        <w:ind w:right="300"/>
        <w:spacing w:after="0" w:line="260" w:lineRule="auto"/>
        <w:rPr>
          <w:sz w:val="20"/>
          <w:szCs w:val="20"/>
          <w:color w:val="auto"/>
        </w:rPr>
      </w:pPr>
      <w:r>
        <w:rPr>
          <w:rFonts w:ascii="Arial" w:cs="Arial" w:eastAsia="Arial" w:hAnsi="Arial"/>
          <w:sz w:val="18"/>
          <w:szCs w:val="18"/>
          <w:b w:val="1"/>
          <w:bCs w:val="1"/>
          <w:i w:val="1"/>
          <w:iCs w:val="1"/>
          <w:color w:val="auto"/>
        </w:rPr>
        <w:t>effective internal control over financial reporting, our ability to produce timely and accurate financial statements or comply with applicable laws and regulations could be impaired.</w:t>
      </w:r>
    </w:p>
    <w:p>
      <w:pPr>
        <w:spacing w:after="0" w:line="18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Sarbanes-Oxley Act requires, among other things, that we evaluate whether disclosure controls and procedures and internal control over financial reporting were effective. We are continuing to develop and refine our disclosure controls and procedures, internal control over financial reporting, and other procedures that are designed to ensure information required to be disclosed by us in our financial statements and in the reports that we will file or submit under the Exchange Act is recorded, processed, summarized, and reported within the time periods specified in the SEC’s rules and forms, and information required to be disclosed in reports filed or submitted under the Exchange Act</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is accumulated and communicated to our principal executive and financial officers as appropriate to allow timely decisions regarding required disclosure. In order to maintain and improve the effectiveness of our controls and procedures, we have expended, and anticipate that we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continue to expend, significant resources, including accounting-related costs and significant management oversight.</w:t>
      </w:r>
    </w:p>
    <w:p>
      <w:pPr>
        <w:spacing w:after="0" w:line="22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 a public company, we are required to evaluate and determine the effectiveness of internal control over financial reporting. Beginning with our second annual report following our IPO, we will be required to provide a management report on internal control over financial reporting, and our independent registered public accounting firm may be required to formally attest to the effectiveness of our internal control over financial reporting once we are no longer an “emerging growth company”. Neither we nor our independent registered public accounting firm were required to, and therefore did not, perform an evaluation of the effectiveness of our internal control over financial reporting as of or for any period included in our financial statements, nor any period subsequent in accordance with the provisions of the Sarbanes-Oxley Act.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identified pertained to:</w:t>
      </w:r>
    </w:p>
    <w:p>
      <w:pPr>
        <w:spacing w:after="0" w:line="239" w:lineRule="exact"/>
        <w:rPr>
          <w:sz w:val="20"/>
          <w:szCs w:val="20"/>
          <w:color w:val="auto"/>
        </w:rPr>
      </w:pPr>
    </w:p>
    <w:p>
      <w:pPr>
        <w:ind w:left="660" w:right="80" w:hanging="328"/>
        <w:spacing w:after="0" w:line="24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spacing w:after="0" w:line="203" w:lineRule="exact"/>
        <w:rPr>
          <w:rFonts w:ascii="Arial" w:cs="Arial" w:eastAsia="Arial" w:hAnsi="Arial"/>
          <w:sz w:val="18"/>
          <w:szCs w:val="18"/>
          <w:color w:val="auto"/>
        </w:rPr>
      </w:pPr>
    </w:p>
    <w:p>
      <w:pPr>
        <w:ind w:left="1300" w:right="160" w:hanging="320"/>
        <w:spacing w:after="0" w:line="238" w:lineRule="auto"/>
        <w:tabs>
          <w:tab w:leader="none" w:pos="12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 These material weaknesses resulted in immaterial adjustments to the financial statements. Additionally, these material weaknesses could result in a misstatement of account balances or disclosures that would result in a material misstatement to the annual or interim financial statements that would not be prevented or detected.</w:t>
      </w:r>
    </w:p>
    <w:p>
      <w:pPr>
        <w:spacing w:after="0" w:line="210" w:lineRule="exact"/>
        <w:rPr>
          <w:rFonts w:ascii="Arial" w:cs="Arial" w:eastAsia="Arial" w:hAnsi="Arial"/>
          <w:sz w:val="18"/>
          <w:szCs w:val="18"/>
          <w:color w:val="auto"/>
        </w:rPr>
      </w:pPr>
    </w:p>
    <w:p>
      <w:pPr>
        <w:ind w:left="1300" w:right="100" w:hanging="320"/>
        <w:spacing w:after="0" w:line="244" w:lineRule="auto"/>
        <w:tabs>
          <w:tab w:leader="none" w:pos="12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 did not design and maintain user access controls to ensure appropriate segregation of duties and to adequately restrict user and privileged access to appropriate personnel in creating and posting journal entries. This material weakness did not result in a misstatement to the financial statements; however, it could result in a misstatement of account balances or disclosures that would result in a material misstatement to the annual or interim financial statements that would not be prevented or detected.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taken the following steps to begin to remediate these material weaknesses:</w:t>
      </w:r>
    </w:p>
    <w:p>
      <w:pPr>
        <w:spacing w:after="0" w:line="23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consulted with experts on technical accounting matters, internal controls, and in the preparation of our financial statements;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engaged a third party to assist in evaluating segregation of duties risks and design and implement controls to address those risks;</w:t>
      </w:r>
    </w:p>
    <w:p>
      <w:pPr>
        <w:ind w:left="660" w:right="32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began to design and implement controls related to restricting user and privileged access to appropriate personnel, including as it relates to creating and posting journal entries;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engaged a third party to assist management in evaluating the accounting for financial instruments; and</w:t>
      </w:r>
    </w:p>
    <w:p>
      <w:pPr>
        <w:ind w:left="660" w:right="30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hired additional accounting, finance, operations, and information technology resources with relevant public company experience, including a Chief Financial Officer, Controller and a Vice President of Information Systems.</w:t>
      </w:r>
    </w:p>
    <w:p>
      <w:pPr>
        <w:spacing w:after="0" w:line="1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While management has made improvements to our control environment and business processes to support and scale with our growing operations, the identified material weaknesses remain un-remediated. We expect our remediation efforts to continue to take place in 2025 and may extend into 2026, and to include the following:</w:t>
      </w:r>
    </w:p>
    <w:p>
      <w:pPr>
        <w:spacing w:after="0" w:line="196" w:lineRule="exact"/>
        <w:rPr>
          <w:sz w:val="20"/>
          <w:szCs w:val="20"/>
          <w:color w:val="auto"/>
        </w:rPr>
      </w:pPr>
    </w:p>
    <w:p>
      <w:pPr>
        <w:jc w:val="both"/>
        <w:ind w:left="660" w:right="20" w:hanging="328"/>
        <w:spacing w:after="0" w:line="24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consult with experts to complete our assessment of segregation of duties risks and implement processes and controls to address, manage and monitor those risks and our restriction of user access, including enhancing the usage of technology within our systems, applications, and tools;</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engage additional experts, as needed, to consult on future complex accounting matters; and</w:t>
      </w:r>
    </w:p>
    <w:p>
      <w:pPr>
        <w:jc w:val="both"/>
        <w:ind w:left="660" w:right="100" w:hanging="328"/>
        <w:spacing w:after="0" w:line="24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expand our resources with the appropriate level of expertise within our accounting, finance, operations, and information technology functions, with the addition of positions such as a director of accounting, a technical accountant, a manager of financial planning and analysis, and additional accounting and information technology personnel.</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may extend into 2026. Additionally, we cannot ensure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beginning with our second annual report after our IPO.</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w:t>
      </w:r>
    </w:p>
    <w:p>
      <w:pPr>
        <w:spacing w:after="0" w:line="1"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completeness of our financial reports, the market price of our Class A common stock could be adversely affected and we could become subject to litigation or investigations by Nasdaq, the SEC, or other regulatory authorities, which could require additional financial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 resources.</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Further, as a public company, significant resources and management oversight will be required. As a result, management’s attention may be diverted from other business concerns, which could harm our business, operating results, financial condition, and future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 significant amount of net operating loss (NOL) carryforwards that can be used to offset potential future taxable income and related income taxes. As of December 31, 2024, we had federal and combined state and city NOL carryforwards of $154.9 million and $78.6 million, respectively, which, if not utilized, begin to expire in 2036 and 2026, respectively. Federal NOLs incurred in 2018 and in future years may be carried forward indefinitely, but the deductibility of such federal NOLs is limited. As of December 31, 2024, we also had federal research and development credit carryforwards of $4.1 million, which begin to expire in 2041, and state research and development credit carryforwards of $2.1 million, which do not expire. Under Section 382 of the Internal Revenue Code of 1986, as amended, if a corporation undergoes an “ownership change” (generally defined as a greater than 50% change, by value, in equity ownership over any three-year period), the</w:t>
      </w:r>
    </w:p>
    <w:p>
      <w:pPr>
        <w:spacing w:after="0" w:line="5"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corporation’s ability to use its pre-change NOL carryforwards and other pre-change tax attributes to offset its post-change income or taxes may be limited. We may have experienced ownership changes in the past, and may experience ownership changes in the future, as a result</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of shifts in our stock ownership, some of which may not be within our control. Our ability to use these carryforwards could be limited if we experience an “ownership change” or have experienced an “ownership change” in the past.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indebtedness could adversely affect our business and growth prospects.</w:t>
      </w:r>
    </w:p>
    <w:p>
      <w:pPr>
        <w:spacing w:after="0" w:line="2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 debt facility with initial availability of up to $140.0 million, issuable in four separate tranches, pursuant a Note Purchase Agreement, dated as of August 2, 2024, by and among us, the purchasers party thereto, and BWCB SA LLC (an entity affiliated with Oberland Capital), as purchaser’s agent, as amended from time to time (the Note Purchase Agreement). As of September 30, 2025, we have drawn the first tranche of $50 million under the debt facility. The advanced principal accrues interest at a rate of 8.0% per annum. We have the option, but not the obligation, to issue and sell an additional tranche of notes in the amount of $25.0 million, under the Note Purchase Agreement, as well as an obligation to sell a tranche of notes in the amount of $ 30 million before March 31, 2026 as we have achieved the revenue and gross margin thresholds triggering this obligation. We also had the option, but not the obligation, to issue and sell a tranche of notes in the amount of $35.0 million prior to September 30, 2025, which we did not exercise. The thresholds triggering this tranche are</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trailing six-month revenue of at least $112.5 million and a trailing six-month gross margin of at least 45%. These tranches are all subject to the terms and conditions set forth in such Agreement. In the future, any indebtedness we may incur under the Note Purchase Agreement or</w:t>
      </w:r>
    </w:p>
    <w:p>
      <w:pPr>
        <w:spacing w:after="0" w:line="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otherwise could require us to divert funds identified for other purposes for debt service and impair our liquidity.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Future indebtedness and the cash flow necessary to satisfy such debt have important consequences, including limiting funds otherwise available for financing our capital expenditures by requiring us to dedicate a portion of our cash flows from operations to the repayment of debt and the interest on this debt, and making us more vulnerable to rising interest rates or in the event of a downturn in our business or in the economy generally.</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we believe that our current debt level is low in comparison to our cash balance, if we increase our debt level by exercising our option to issue and sell additional tranches of notes under our debt facility or by entering into additional debt arrangements in the future, our level of indebtedness may place us at a competitive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disadvantage to our competitors that are differently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expect to use cash flows from operations to meet our current and future financial obligations for at least the next twelve months, including funding our operations, any debt service requirements and capital expenditures. The ability to make these payments depends on our</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financial and operating performance, which is subject to prevailing economic, industry and competitive conditions and to certain financial, business, economic and other factors beyond our control.</w:t>
      </w:r>
    </w:p>
    <w:p>
      <w:pPr>
        <w:spacing w:after="0" w:line="21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terms of our debt facility restrict our current and future operations, particularly our ability to respond to changes or to take certain actions.</w:t>
      </w:r>
    </w:p>
    <w:p>
      <w:pPr>
        <w:spacing w:after="0" w:line="1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Note Purchase Agreement contains a number of restrictive covenants that impose significant operating and financial restrictions on us and may limit our ability to engage in acts that may be in our long-term best interests. The Note Purchase Agreement includes covenants requiring the Company to maintain certain trailing six-month net revenue levels and trailing six-month gross margin ratios, and includes other covenants that restrict on our ability to:</w:t>
      </w:r>
    </w:p>
    <w:p>
      <w:pPr>
        <w:spacing w:after="0" w:line="20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our business or executive office;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 or encumbrances;</w:t>
      </w:r>
    </w:p>
    <w:p>
      <w:pPr>
        <w:ind w:left="660" w:hanging="328"/>
        <w:spacing w:after="0" w:line="21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payment on any subordinated debt;</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store inventory or equipment with a third-party bailee;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 to apply with applicable law;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material assets to subsidiaries.</w:t>
      </w:r>
    </w:p>
    <w:p>
      <w:pPr>
        <w:spacing w:after="0" w:line="22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breach of the covenants or restrictions under the Note Purchase Agreement could result in an event of default. Such a default may allow the noteholders or our other creditors to accelerate the related debt, which may result in the acceleration of any other debt to which a cross-acceleration or cross-default provision applies. In the event any note holder or any other holders of our indebtedness accelerate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 limited in how we conduct our business; unable to raise additional debt or equity financing to operate during general economic or</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business downturns; or unable to compete effectively or to take advantage of new business opportunities. These restrictions, along with restrictions that may be contained in agreements evidencing or governing other future indebtedness, may affect our ability to execute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growth strategy.</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18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and the application of such laws is subject to uncertainty.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08"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w:t>
      </w:r>
    </w:p>
    <w:p>
      <w:pPr>
        <w:spacing w:after="0"/>
        <w:rPr>
          <w:sz w:val="20"/>
          <w:szCs w:val="20"/>
          <w:color w:val="auto"/>
        </w:rPr>
      </w:pPr>
      <w:r>
        <w:rPr>
          <w:rFonts w:ascii="Arial" w:cs="Arial" w:eastAsia="Arial" w:hAnsi="Arial"/>
          <w:sz w:val="18"/>
          <w:szCs w:val="18"/>
          <w:b w:val="1"/>
          <w:bCs w:val="1"/>
          <w:i w:val="1"/>
          <w:iCs w:val="1"/>
          <w:color w:val="auto"/>
        </w:rPr>
        <w:t>investors, resulting in a decline in the market price of our common stock.</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also possible that interpretation, industry practice and guidance may evolve. If our assumptions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change or if actual circumstances differ from our assumptions, our operating results may be adversely affected and could fall below our publicly announced guidance or the expectations of analysts and investors, resulting in a decline in the market price of our Class A common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41"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The market price for our Class A common stock may be volatile or may decline regardless of our operating performance, and you may lose all or part of your investment.</w:t>
      </w:r>
    </w:p>
    <w:p>
      <w:pPr>
        <w:spacing w:after="0" w:line="16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many of which are beyond our control, including:</w:t>
      </w:r>
    </w:p>
    <w:p>
      <w:pPr>
        <w:spacing w:after="0" w:line="18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speculation involving us or other companies in our industry;</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perceptions of us and the industry in which we operate or our failure to meet the expectations of investors;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ind w:left="660" w:right="44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us, other companies in our industry or both, or investigations by regulators into our operations or those of our competitors;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our or third-party intellectual property or proprietary rights;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or other strategic transactions by us or our competitors;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privacy, data protection or data security;</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senior management or key personnel;</w:t>
      </w:r>
    </w:p>
    <w:p>
      <w:pPr>
        <w:ind w:left="660" w:right="80" w:hanging="328"/>
        <w:spacing w:after="0" w:line="23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expiration of contractual lock-up agreements and market stand-off agreements with our executive officers, directors, employees and stockholders;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size or growth of our target markets;</w:t>
      </w:r>
    </w:p>
    <w:p>
      <w:pPr>
        <w:ind w:left="660" w:right="160" w:hanging="328"/>
        <w:spacing w:after="0" w:line="23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and market conditions in general, including those resulting from geopolitical tensions, tariffs and other trade actions, war, pandemics, terrorism or responses to these events;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22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Furthermore, the stock market has experienced extreme volatility that in some cases has been unrelated or disproportionate to the operating performance of particular companies. These and other factors may cause the market price and demand for our Class A common stock to</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fluctuate substantially, which may limit or prevent investors from readily selling their shares of Class A common stock and may otherwise negatively affect the liquidity of our Class A common stock.</w:t>
      </w:r>
    </w:p>
    <w:p>
      <w:pPr>
        <w:spacing w:after="0" w:line="20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dual-class capital structure has the effect of concentrating voting power with holders of our Class B common stock, who have significant influence over us and, if acting together, will be able to control matters requiring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one vote per share and our Class B common stock has 15 votes per share. The holders of our outstanding Class B common stock, Drs. Atay and Tsao, together hold 63.5% of the voting power of our outstanding capital stock.. As a result, Drs. Atay and Tsao are able to exert significant influence over us and, if acting together, will be able to control matters requiring stockholder approval, including the election of our Board of Directors, the adoption of amendments to our Certificate of Incorporation and Bylaws and the approval of any merger, consolidation, sale of all or substantially all of our assets or other major corporate transactions. In addition, if our Co-Founders continue to beneficially own shares representing in excess of 50% of the voting power of our outstanding capital stock and determine to act together in the future, we could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become eligible to elect the “controlled company” exemption to the corporate governance rules for publicly listed companies. If we were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use controlled company exemptions in the future, our status as a controlled company could cause our Class A common stock to be less attractive to certain investors or otherwise cause the market price of our Class A common stock to decline. Further, the interests of Drs. Atay and Tsao may not always coincide with, and in some cases may conflict with, our interests and the interests of our</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other stockholders. For instance, Drs. Atay and Tsao could attempt to delay or prevent a change in control of our company, even if such change in control would benefit our other stockholders, which could deprive our stockholders of an opportunity to receive a premium for their</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3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cannot predict whether our dual class structure, combined with the concentrated control of Drs. Atay and Tsao, who will beneficially own all of the outstanding shares of our Class B common stock, will result in a lower or more volatile market price of our Class A common stock, adverse publicity or other adverse consequences. Certain stock index providers have in the past excluded companies with multiple classes of shares of common stock from being added to certain stock indices. If our Class A common stock was ineligible for inclusion in indices with such restrictions mutual funds, exchange-traded funds and other investment vehicles that attempt to passively track those indices may not invest in our Class A common stock.</w:t>
      </w:r>
    </w:p>
    <w:p>
      <w:pPr>
        <w:spacing w:after="0" w:line="206"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In addition, several stockholder advisory firms and large institutional investors have been critical of the use of multi-class structures. Such advisory firms may publish negative commentary about our corporate governance practices or our capital structure, which may dissuade large institutional investors from purchasing shares of our Class A common stock.</w:t>
      </w:r>
    </w:p>
    <w:p>
      <w:pPr>
        <w:spacing w:after="0" w:line="18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These actions could make our Class A common stock less attractive to other investors and may result in a less active trading market for our Class A common stock.</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if they publish inaccurate or unfavorable research about our business, or if our financial results differ from any guidance we provide to the public, the price of our Class A common stock and trading volume could decline.</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securities or industry analysts publish about us or our business, our market, and our competitors. We do not currently have and may never obtain research coverage by securities and industry analysts. We do not have any control over these analysts. If we fail to meet the expectations of these analysts, our stock price could be adversely affected. If no or few securities analysts commence coverage of us, the trading price for our Class A common stock would be negatively affected. In the event we obtain securities or industry analyst coverage, if one or more of the analysts who cover us downgrade our Class A common stock or publish inaccurate or unfavorable research about our business, the market price of our Class A common stock would likely decline. If one or more of these analysts cease coverage of us or fail to publish reports on us regularly, demand for our Class A common stock could decrease, which may cause the market price of our Class A common stock and trading volume to decline.</w:t>
      </w:r>
    </w:p>
    <w:p>
      <w:pPr>
        <w:spacing w:after="0" w:line="18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In addition, the stock prices of many companies in the precision diagnostics industry have declined significantly after those companies failed to meet the financial guidance publicly announced by the companies or the expectations of analysts, and stock prices have even declined significantly after such companies exceeded, or even significantly exceeded, such guidance or expectations. If our financial results fail to meet any guidance we announce, or the expectations of analysts or public investors, or even if our financial results exceed, or even significantly exceed, any such guidance or expectations, or if we reduce any such guidance for future periods, the market price of our Class A common stock may decline.</w:t>
      </w:r>
    </w:p>
    <w:p>
      <w:pPr>
        <w:spacing w:after="0" w:line="208"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Future sales of substantial amounts of our Class A common stock in the public markets, or the perception that such sales might occur, could reduce the price that our Class A common stock might otherwise attain.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Future sales of a substantial number of shares of our Class A common stock in the public market, particularly sales by our directors, executive officers, and principal stockholders, or the perception that these sales could occur, could adversely affect the market price of our Class A common stock and may make it more difficult for you to sell your Class A common stock at a time and price that you deem appropriate. The resale of the 35,616,629 shares of Class A common stock and all of our Class B common stock outstanding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with this offering. However, subject to applicable securities law restrictions, these shares will be able to be sold in the public market beginning on the 181st day after the date of the final prospectus for our IPO. Shares issued upon the exercise of stock options outstanding under our</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20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holders of 37,706,613 shares of our Class A common stock (including shares of our Class A common stock issuable upon the conversion of shares of Class B common stock) have certain rights to require us to register the sale of Class A common stock held by such stockholders, including in connection with underwritten offerings. Sales of significant amounts of stock in the public market upon expiration of lock-up agreements and market stand-off provisions, the perception that such sales may occur, or early release of any lock-up agreements or market stand-off provisions, could adversely affect prevailing market prices of our Class A common stock or make it more difficult for you to sell your shares of Class A common stock at a time and price that you deem appropriate.</w:t>
      </w:r>
    </w:p>
    <w:p>
      <w:pPr>
        <w:spacing w:after="0" w:line="206"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The market price of our Class A common stock may drop significantly when the restrictions on resale by our existing stockholders lapse, including in the event of a partial release under the lock-up agreement or market stand-off provisions, if we register certain of our</w:t>
      </w:r>
    </w:p>
    <w:p>
      <w:pPr>
        <w:ind w:right="200"/>
        <w:spacing w:after="0"/>
        <w:rPr>
          <w:sz w:val="20"/>
          <w:szCs w:val="20"/>
          <w:color w:val="auto"/>
        </w:rPr>
      </w:pPr>
      <w:r>
        <w:rPr>
          <w:rFonts w:ascii="Arial" w:cs="Arial" w:eastAsia="Arial" w:hAnsi="Arial"/>
          <w:sz w:val="17"/>
          <w:szCs w:val="17"/>
          <w:color w:val="auto"/>
        </w:rPr>
        <w:t>stockholders’ shares of our Class A common stock for resale, or if there is an expectation that such a lapse of resale restrictions or registration of shares will occur. A decline in the trading price of our Class A common stock might impede our ability to raise capital through</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the issuance of additional shares of our Class A common stock or other equity securities and may impair your ability to sell shares of our Class A common stock at a price higher than the price you paid for them or at all.</w:t>
      </w:r>
    </w:p>
    <w:p>
      <w:pPr>
        <w:spacing w:after="0" w:line="20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Class A common stock.</w:t>
      </w:r>
    </w:p>
    <w:p>
      <w:pPr>
        <w:spacing w:after="0" w:line="18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our Certificate of Incorporation and Bylaws contain provisions that could have the effect of rendering more difficult, delaying or preventing an acquisition deemed undesirable by our Board of Directors, including transactions in which stockholders might otherwise receive a premium for their shares. Among others, our Certificate of Incorporation and Bylaws include the following provisions:</w:t>
      </w:r>
    </w:p>
    <w:p>
      <w:pPr>
        <w:spacing w:after="0" w:line="203" w:lineRule="exact"/>
        <w:rPr>
          <w:sz w:val="20"/>
          <w:szCs w:val="20"/>
          <w:color w:val="auto"/>
        </w:rPr>
      </w:pPr>
    </w:p>
    <w:p>
      <w:pPr>
        <w:ind w:left="660" w:right="20" w:hanging="328"/>
        <w:spacing w:after="0" w:line="23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dual-class structure that provides holders of shares of our Class B common stock with the ability to significantly influence the outcome of matters requiring stockholder approval, even if they own significantly less than a majority of the shares of our outstanding capital stock;</w:t>
      </w:r>
    </w:p>
    <w:p>
      <w:pPr>
        <w:spacing w:after="0" w:line="1" w:lineRule="exact"/>
        <w:rPr>
          <w:rFonts w:ascii="Arial" w:cs="Arial" w:eastAsia="Arial" w:hAnsi="Arial"/>
          <w:sz w:val="18"/>
          <w:szCs w:val="18"/>
          <w:color w:val="auto"/>
        </w:rPr>
      </w:pPr>
    </w:p>
    <w:p>
      <w:pPr>
        <w:ind w:left="660" w:right="100" w:hanging="328"/>
        <w:spacing w:after="0" w:line="23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2" w:lineRule="exact"/>
        <w:rPr>
          <w:rFonts w:ascii="Arial" w:cs="Arial" w:eastAsia="Arial" w:hAnsi="Arial"/>
          <w:sz w:val="18"/>
          <w:szCs w:val="18"/>
          <w:color w:val="auto"/>
        </w:rPr>
      </w:pPr>
    </w:p>
    <w:p>
      <w:pPr>
        <w:ind w:left="660" w:right="320" w:hanging="328"/>
        <w:spacing w:after="0" w:line="23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1" w:lineRule="exact"/>
        <w:rPr>
          <w:rFonts w:ascii="Arial" w:cs="Arial" w:eastAsia="Arial" w:hAnsi="Arial"/>
          <w:sz w:val="18"/>
          <w:szCs w:val="18"/>
          <w:color w:val="auto"/>
        </w:rPr>
      </w:pPr>
    </w:p>
    <w:p>
      <w:pPr>
        <w:ind w:left="660" w:right="420" w:hanging="328"/>
        <w:spacing w:after="0" w:line="24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on convening special stockholder meetings once our Class B common stock no longer represents a majority of voting power of our outstanding capital stock, which could make it difficult for our stockholders to adopt desired governance changes;</w:t>
      </w:r>
    </w:p>
    <w:p>
      <w:pPr>
        <w:spacing w:after="0" w:line="1" w:lineRule="exact"/>
        <w:rPr>
          <w:rFonts w:ascii="Arial" w:cs="Arial" w:eastAsia="Arial" w:hAnsi="Arial"/>
          <w:sz w:val="17"/>
          <w:szCs w:val="17"/>
          <w:color w:val="auto"/>
        </w:rPr>
      </w:pPr>
    </w:p>
    <w:p>
      <w:pPr>
        <w:ind w:left="660" w:right="180" w:hanging="328"/>
        <w:spacing w:after="0" w:line="23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2" w:lineRule="exact"/>
        <w:rPr>
          <w:rFonts w:ascii="Arial" w:cs="Arial" w:eastAsia="Arial" w:hAnsi="Arial"/>
          <w:sz w:val="18"/>
          <w:szCs w:val="18"/>
          <w:color w:val="auto"/>
        </w:rPr>
      </w:pPr>
    </w:p>
    <w:p>
      <w:pPr>
        <w:ind w:left="660" w:right="460" w:hanging="328"/>
        <w:spacing w:after="0" w:line="23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once our Class B common stock no longer represents a majority of voting power of our outstanding capital stock, which means that our stockholders will only be able to take action at a meeting of stockholders;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3" w:lineRule="exact"/>
        <w:rPr>
          <w:rFonts w:ascii="Arial" w:cs="Arial" w:eastAsia="Arial" w:hAnsi="Arial"/>
          <w:sz w:val="18"/>
          <w:szCs w:val="18"/>
          <w:color w:val="auto"/>
        </w:rPr>
      </w:pPr>
    </w:p>
    <w:p>
      <w:pPr>
        <w:ind w:left="660" w:right="180"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once our Class B common stock no longer represents a majority of voting power of our outstanding capital stock, directors will only be able to be removed for cause and only by the affirmative vote of two-thirds of the voting power of our then-outstanding capital stock;</w:t>
      </w:r>
    </w:p>
    <w:p>
      <w:pPr>
        <w:spacing w:after="0" w:line="2" w:lineRule="exact"/>
        <w:rPr>
          <w:rFonts w:ascii="Arial" w:cs="Arial" w:eastAsia="Arial" w:hAnsi="Arial"/>
          <w:sz w:val="18"/>
          <w:szCs w:val="18"/>
          <w:color w:val="auto"/>
        </w:rPr>
      </w:pPr>
    </w:p>
    <w:p>
      <w:pPr>
        <w:ind w:left="660" w:right="360" w:hanging="328"/>
        <w:spacing w:after="0" w:line="22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once our Class B common stock no longer represents a majority of voting power of our outstanding capital stock, certain amendments to our Certificate of Incorporation and Bylaws will require the approval of two-thirds of the voting power of our then-outstanding capital stock; and</w:t>
      </w:r>
    </w:p>
    <w:p>
      <w:pPr>
        <w:spacing w:after="0" w:line="1" w:lineRule="exact"/>
        <w:rPr>
          <w:rFonts w:ascii="Arial" w:cs="Arial" w:eastAsia="Arial" w:hAnsi="Arial"/>
          <w:sz w:val="18"/>
          <w:szCs w:val="18"/>
          <w:color w:val="auto"/>
        </w:rPr>
      </w:pPr>
    </w:p>
    <w:p>
      <w:pPr>
        <w:jc w:val="both"/>
        <w:ind w:left="660" w:right="120" w:hanging="328"/>
        <w:spacing w:after="0" w:line="24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capital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of Directors approval, the business combination receives the approval of the holders of at least two-thirds of our outstanding common stock not held by such interested stockholder.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provision of our Certificate of Incorporation, Bylaws or Delaware law that has the effect of delaying, preventing, or deterring a change in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control could limit the opportunity for our stockholders to receive a premium for their shares of our common stock. Even in the absence of a takeover attempt, the existence of these provisions may adversely affect the prevailing market price of our common stock if they are viewed</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by investors as discouraging future takeover attempts or other transactions that may be in the best interests of our stockholders or that may otherwise enable them to obtain a greater return on their investment, which may impair your ability to sell shares of our Class A common stock at a price greater than the price you paid for them or at all.</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86"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unless we consent in writing to the selection of an alternative forum to the extent permitted by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Securities Act of 1933, as amended (the Securities Act) creates concurrent jurisdiction for federal and state courts over all such Securities Act actions. Accordingly, both state and federal courts have jurisdiction to entertain such claims. Our Certificate of Incorporation further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provides that the U.S. federal district courts will be the exclusive forum for resolving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result in increased costs to stockholders to bring a claim, may limit investors’ ability to bring a claim in a judicial forum that they find favorable, and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do not anticipate paying dividends on our Class A common stock in the foreseeable future. As a result, your ability to achieve a return on your investment will depend on appreciation in the price of our Class A common stock.</w:t>
      </w:r>
    </w:p>
    <w:p>
      <w:pPr>
        <w:spacing w:after="0" w:line="16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have never declared or paid any dividends on our capital stock, and we do not anticipate paying any cash dividends on our Class A common stock in the foreseeable future. We anticipate that we will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w:t>
      </w:r>
    </w:p>
    <w:p>
      <w:pPr>
        <w:ind w:right="140"/>
        <w:spacing w:after="0" w:line="226" w:lineRule="auto"/>
        <w:rPr>
          <w:sz w:val="20"/>
          <w:szCs w:val="20"/>
          <w:color w:val="auto"/>
        </w:rPr>
      </w:pPr>
      <w:r>
        <w:rPr>
          <w:rFonts w:ascii="Arial" w:cs="Arial" w:eastAsia="Arial" w:hAnsi="Arial"/>
          <w:sz w:val="18"/>
          <w:szCs w:val="18"/>
          <w:color w:val="auto"/>
        </w:rPr>
        <w:t>contractual restrictions, and capital requirements. Our ability to declare or pay dividends is also subject to the restrictions and limitations set forth in the Note Purchase Agreement. Furthermore, we may also enter into other loan or credit agreements or similar borrowing</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arrangements that may further restrict our ability to declare or pay dividends on our Class A common stock. Consequently, investors who purchase Class A common stock may be unable to realize a return on their investment except by selling such shares after price appreciation, which may never occur. Our inability or decision not to pay dividends, particularly when others in our industry have elected to do so, could also adversely affect the market price of our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1"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Our failure to timely and effectively implement controls and procedures required by Section 404 of the Sarbanes-Oxley Act could have a material adverse effect on our business.</w:t>
      </w:r>
    </w:p>
    <w:p>
      <w:pPr>
        <w:spacing w:after="0" w:line="16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will be required to provide management’s assessment regarding internal control over financial reporting in our second Annual Report on Form 10-K. In addition, at such time as we are no longer an “emerging growth company,” we will required to comply with the auditor attestation requirements of Section 404(b) of the Sarbanes-Oxley Act requiring our auditors to provide an opinion on the effectiveness of our internal controls over financial reporting. While we have begun implementation of such controls and procedures, management may not be</w:t>
      </w:r>
    </w:p>
    <w:p>
      <w:pPr>
        <w:ind w:right="60"/>
        <w:spacing w:after="0" w:line="226" w:lineRule="auto"/>
        <w:rPr>
          <w:sz w:val="20"/>
          <w:szCs w:val="20"/>
          <w:color w:val="auto"/>
        </w:rPr>
      </w:pPr>
      <w:r>
        <w:rPr>
          <w:rFonts w:ascii="Arial" w:cs="Arial" w:eastAsia="Arial" w:hAnsi="Arial"/>
          <w:sz w:val="18"/>
          <w:szCs w:val="18"/>
          <w:color w:val="auto"/>
        </w:rPr>
        <w:t>able to effectively and timely implement controls and procedures that adequately respond to these increased regulatory compliance and reporting requirements as and when they become applicable. If we are not able to implement the additional requirements of Section 404 in a</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timely manner or with adequate compliance, we and our auditors may not be able to assess whether our internal controls over financial reporting are effective, which may subject us to adverse regulatory consequences and could harm investor confidence and the market price of our Class A common stock.</w:t>
      </w:r>
    </w:p>
    <w:p>
      <w:pPr>
        <w:spacing w:after="0" w:line="20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preparation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additional material</w:t>
      </w:r>
    </w:p>
    <w:p>
      <w:pPr>
        <w:spacing w:after="0" w:line="3"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weaknesses or a significant deficiency in our internal control over financial reporting, we could lose investor confidence in the accuracy and completeness of our financial reports, the market price of our Class A common stock could decline, and we could be subject to sanctions or</w:t>
      </w:r>
    </w:p>
    <w:p>
      <w:pPr>
        <w:spacing w:after="0" w:line="2"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our IPO, (ii)</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last day of the first fiscal year in which our annual gross revenue is $1.235 billion or more, (iii) the date on which we have, during the previous rolling three-year period, issued more than $1.0 billion in non-convertible debt securities, and (iv) the date on which we are deemed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be a “large accelerated filer.”</w:t>
      </w:r>
    </w:p>
    <w:p>
      <w:pPr>
        <w:spacing w:after="0" w:line="22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Class A common stock less attractive as a result, there may be a less active trading market for our Class A common stock, and the market price of our Class A common stock may be more volatile.</w:t>
      </w:r>
    </w:p>
    <w:p>
      <w:pPr>
        <w:spacing w:after="0" w:line="205"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of Directors members.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public company listed in the U.S., we will incur significant legal, accounting, and other expenses. In addition, changing laws, regulations, and standards relating to corporate governance and public disclosure, including regulations implemented by SEC and Nasdaq, may increase legal and financial compliance costs and make some activities more time consuming. These rules might also make it more difficult for us to</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obtain certain types of insurance, including director and officer liability insurance, and we might be forced to accept reduced policy limits and coverage or incur substantially higher costs to obtain the same or similar coverage. We cannot predict or estimate the amount of additional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costs we will incur as a public company or the specific timing of such costs, and any such costs may adversely affect our business, financial condition and results of operations.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adversely affected.</w:t>
      </w:r>
    </w:p>
    <w:p>
      <w:pPr>
        <w:spacing w:after="0" w:line="206" w:lineRule="exact"/>
        <w:rPr>
          <w:sz w:val="20"/>
          <w:szCs w:val="20"/>
          <w:color w:val="auto"/>
        </w:rPr>
      </w:pPr>
    </w:p>
    <w:p>
      <w:pPr>
        <w:jc w:val="both"/>
        <w:ind w:right="200"/>
        <w:spacing w:after="0" w:line="255" w:lineRule="auto"/>
        <w:rPr>
          <w:sz w:val="20"/>
          <w:szCs w:val="20"/>
          <w:color w:val="auto"/>
        </w:rPr>
      </w:pPr>
      <w:r>
        <w:rPr>
          <w:rFonts w:ascii="Arial" w:cs="Arial" w:eastAsia="Arial" w:hAnsi="Arial"/>
          <w:sz w:val="17"/>
          <w:szCs w:val="17"/>
          <w:color w:val="auto"/>
        </w:rPr>
        <w:t>In addition, as a result of our disclosure obligations as a public company, we have reduced strategic flexibility and will be under pressure to focus on short-term results, which may adversely affect our ability to achieve our long-term goals. As a result of disclosure of information in filings required of a public company, our business and financial condition will become more visible, which may result in threatened or actual</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litigation, including by stockholders and competitors. If such claims are successful, our business and operating results could be adversely affected, and even if the claims do not result in litigation or are resolved in our favor, these claims, and the time and resources necessary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resolve them, could divert the resources of our management and adversely affect our business and operating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a public company,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controls. Accordingly, because of the inherent limitations in our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2. Unregistered Sales Of Equity Securities And Use Of Proceeds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3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From July 1, 2025 to (but not including) November 6, 2025 (the date of the filing of our Registration Statement on Form S-8), we issued and sold to our directors, officers, employees, consultants and other service providers an aggregate of 270,747 shares of our Class A common stock upon the exercise of stock options under our 2018 Stock Plan, at exercise prices ranging from $0.45 to $30.78 per share, for an aggregate purchase price of $1,501,102.62.</w:t>
      </w:r>
    </w:p>
    <w:p>
      <w:pPr>
        <w:spacing w:after="0" w:line="2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From July 1, 2025 to (but not including) November 6, 2025, we granted to our directors, officers, employees, consultants and other service providers options to purchase 1,224,549 shares of our Class A common stock under our 2018 Stock Plan at exercise prices ranging from $23.15 to $30.78 per share.</w:t>
      </w:r>
    </w:p>
    <w:p>
      <w:pPr>
        <w:spacing w:after="0" w:line="18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On November 7, 2025, we exchanged a total of 4,552,650 shares of Class A common stock held by Oguzhan Atay, our Chief Executive Officer and Co-Founder, and David Tsao, our Chief Technology Officer and Co-Founder, and certain related entities for an equivalent number of shares of Class B common stock pursuant to the terms of certain exchange agreements. No additional consideration was paid in connection with the exchange. We believe the offers, sales, and issuances of the above securities were exempt from registration under the Securities Act pursuant to Section 3(a)(9) of the Securities Act because our securities were exchanged by us with our existing security holders exclusively where no commission or other remuneration was paid or given directly or indirectly for soliciting such exchange.</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w:t>
      </w:r>
    </w:p>
    <w:p>
      <w:pPr>
        <w:ind w:right="100"/>
        <w:spacing w:after="0" w:line="226" w:lineRule="auto"/>
        <w:rPr>
          <w:sz w:val="20"/>
          <w:szCs w:val="20"/>
          <w:color w:val="auto"/>
        </w:rPr>
      </w:pPr>
      <w:r>
        <w:rPr>
          <w:rFonts w:ascii="Arial" w:cs="Arial" w:eastAsia="Arial" w:hAnsi="Arial"/>
          <w:sz w:val="18"/>
          <w:szCs w:val="18"/>
          <w:color w:val="auto"/>
        </w:rPr>
        <w:t>acquire the securities for investment only and not with a view to or for sale in connection with any distribution thereof, and appropriate legends were placed upon the stock certificates issued in these transactions. All recipients had adequate access, through their relationships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us, to information about us. The sales of these securities were made without any general solicitation or advertising.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3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On November 7, 2025, we closed our IPO in which we issued and sold 5,233,765 shares of our Class A common stock, which includes the exercise in full by the underwriters of their option to purchase from the Company 682,665 shares of the Company’s Class A common stock, at a price to the public of $60.00 per share. We received net proceeds of $286.4 million after deducting underwriting discounts and commissions of $22.0 million and deducting offering expenses of $5.6 million. No payments for such expenses were made directly or indirectly to (i) any of our officers or directors or their associates, (ii) any persons owning 10% or more of any class of our equity securities or (iii) any of our affiliates.</w:t>
      </w: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All shares sold were registered pursuant to a registration statement on Form S-1 (File No. 333-290761), as amended (the “Registration statement”), which became effective on November 5, 2025. The offering terminated after the sale of all securities registered pursuant to the Registration Statement. J.P. Morgan Securities LLC,</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Piper Sandler &amp; Co., Jefferies LLC, William Blair &amp; Company, L.L.C., Stifel, Nicolaus &amp; Company, Incorporated, Wells Fargo Securities, LLC, and BTIG, LLC acted as representatives of the underwriters for the IPO.</w:t>
      </w:r>
    </w:p>
    <w:p>
      <w:pPr>
        <w:ind w:right="300"/>
        <w:spacing w:after="0" w:line="250"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the final prospectus dated as of November 5, 2025 and filed with the SEC pursuant to Rule 424(b)(4) on November 6, 2025.</w:t>
      </w: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Defaults Upon Senior Securities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5. Other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Trading Arrangements</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fiscal quarter ended September 30, 2025, none of our directors or officers (as defined in Rule 16a-1(f) under the Exchange Act) adopted or terminated a “Rule 10b5-1 trading arrangement” or a “non-Rule 10b5-1 trading arrangement,” as each term is defined in Item 408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Exhibits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Exhibits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5240" w:type="dxa"/>
            <w:vAlign w:val="bottom"/>
            <w:gridSpan w:val="4"/>
          </w:tcPr>
          <w:p>
            <w:pPr>
              <w:spacing w:after="0"/>
              <w:rPr>
                <w:sz w:val="20"/>
                <w:szCs w:val="20"/>
                <w:color w:val="auto"/>
              </w:rPr>
            </w:pPr>
            <w:r>
              <w:rPr>
                <w:rFonts w:ascii="Arial" w:cs="Arial" w:eastAsia="Arial" w:hAnsi="Arial"/>
                <w:sz w:val="16"/>
                <w:szCs w:val="16"/>
                <w:color w:val="auto"/>
              </w:rPr>
              <w:t>Description of Exhibit</w:t>
            </w:r>
          </w:p>
        </w:tc>
        <w:tc>
          <w:tcPr>
            <w:tcW w:w="680" w:type="dxa"/>
            <w:vAlign w:val="bottom"/>
          </w:tcPr>
          <w:p>
            <w:pPr>
              <w:jc w:val="center"/>
              <w:spacing w:after="0"/>
              <w:rPr>
                <w:sz w:val="20"/>
                <w:szCs w:val="20"/>
                <w:color w:val="auto"/>
              </w:rPr>
            </w:pPr>
            <w:r>
              <w:rPr>
                <w:rFonts w:ascii="Arial" w:cs="Arial" w:eastAsia="Arial" w:hAnsi="Arial"/>
                <w:sz w:val="16"/>
                <w:szCs w:val="16"/>
                <w:color w:val="auto"/>
              </w:rPr>
              <w:t>Form</w:t>
            </w:r>
          </w:p>
        </w:tc>
        <w:tc>
          <w:tcPr>
            <w:tcW w:w="1140" w:type="dxa"/>
            <w:vAlign w:val="bottom"/>
          </w:tcPr>
          <w:p>
            <w:pPr>
              <w:ind w:left="280"/>
              <w:spacing w:after="0"/>
              <w:rPr>
                <w:sz w:val="20"/>
                <w:szCs w:val="20"/>
                <w:color w:val="auto"/>
              </w:rPr>
            </w:pPr>
            <w:r>
              <w:rPr>
                <w:rFonts w:ascii="Arial" w:cs="Arial" w:eastAsia="Arial" w:hAnsi="Arial"/>
                <w:sz w:val="16"/>
                <w:szCs w:val="16"/>
                <w:color w:val="auto"/>
              </w:rPr>
              <w:t>File No.</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Exhibit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Filing Date</w:t>
            </w:r>
          </w:p>
        </w:tc>
        <w:tc>
          <w:tcPr>
            <w:tcW w:w="1000" w:type="dxa"/>
            <w:vAlign w:val="bottom"/>
          </w:tcPr>
          <w:p>
            <w:pPr>
              <w:jc w:val="center"/>
              <w:spacing w:after="0"/>
              <w:rPr>
                <w:sz w:val="20"/>
                <w:szCs w:val="20"/>
                <w:color w:val="auto"/>
              </w:rPr>
            </w:pPr>
            <w:r>
              <w:rPr>
                <w:rFonts w:ascii="Arial" w:cs="Arial" w:eastAsia="Arial" w:hAnsi="Arial"/>
                <w:sz w:val="16"/>
                <w:szCs w:val="16"/>
                <w:color w:val="auto"/>
              </w:rPr>
              <w:t>Filed or</w:t>
            </w:r>
          </w:p>
        </w:tc>
      </w:tr>
      <w:tr>
        <w:trPr>
          <w:trHeight w:val="162"/>
        </w:trPr>
        <w:tc>
          <w:tcPr>
            <w:tcW w:w="1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6"/>
                <w:szCs w:val="16"/>
                <w:color w:val="auto"/>
              </w:rPr>
              <w:t>Number</w:t>
            </w:r>
          </w:p>
        </w:tc>
        <w:tc>
          <w:tcPr>
            <w:tcW w:w="124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6"/>
                <w:szCs w:val="16"/>
                <w:color w:val="auto"/>
              </w:rPr>
              <w:t>Furnished</w:t>
            </w:r>
          </w:p>
        </w:tc>
      </w:tr>
      <w:tr>
        <w:trPr>
          <w:trHeight w:val="215"/>
        </w:trPr>
        <w:tc>
          <w:tcPr>
            <w:tcW w:w="10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Herewith</w:t>
            </w:r>
          </w:p>
        </w:tc>
      </w:tr>
      <w:tr>
        <w:trPr>
          <w:trHeight w:val="169"/>
        </w:trPr>
        <w:tc>
          <w:tcPr>
            <w:tcW w:w="108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5240" w:type="dxa"/>
            <w:vAlign w:val="bottom"/>
            <w:gridSpan w:val="4"/>
          </w:tcPr>
          <w:p>
            <w:pPr>
              <w:spacing w:after="0" w:line="169" w:lineRule="exact"/>
              <w:rPr>
                <w:rFonts w:ascii="Arial" w:cs="Arial" w:eastAsia="Arial" w:hAnsi="Arial"/>
                <w:sz w:val="16"/>
                <w:szCs w:val="16"/>
                <w:color w:val="0000FF"/>
              </w:rPr>
            </w:pPr>
            <w:hyperlink r:id="rId122">
              <w:r>
                <w:rPr>
                  <w:rFonts w:ascii="Arial" w:cs="Arial" w:eastAsia="Arial" w:hAnsi="Arial"/>
                  <w:sz w:val="16"/>
                  <w:szCs w:val="16"/>
                  <w:color w:val="0000FF"/>
                </w:rPr>
                <w:t>Amended and Restated Certificate of Incorporation of the Registrant</w:t>
              </w:r>
            </w:hyperlink>
          </w:p>
        </w:tc>
        <w:tc>
          <w:tcPr>
            <w:tcW w:w="680" w:type="dxa"/>
            <w:vAlign w:val="bottom"/>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001-42934</w:t>
            </w:r>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240" w:type="dxa"/>
            <w:vAlign w:val="bottom"/>
          </w:tcPr>
          <w:p>
            <w:pPr>
              <w:jc w:val="center"/>
              <w:spacing w:after="0" w:line="169" w:lineRule="exact"/>
              <w:rPr>
                <w:sz w:val="20"/>
                <w:szCs w:val="20"/>
                <w:color w:val="auto"/>
              </w:rPr>
            </w:pPr>
            <w:r>
              <w:rPr>
                <w:rFonts w:ascii="Arial" w:cs="Arial" w:eastAsia="Arial" w:hAnsi="Arial"/>
                <w:sz w:val="16"/>
                <w:szCs w:val="16"/>
                <w:color w:val="auto"/>
                <w:w w:val="99"/>
              </w:rPr>
              <w:t>November 10,</w:t>
            </w:r>
          </w:p>
        </w:tc>
        <w:tc>
          <w:tcPr>
            <w:tcW w:w="1000" w:type="dxa"/>
            <w:vAlign w:val="bottom"/>
          </w:tcPr>
          <w:p>
            <w:pPr>
              <w:spacing w:after="0"/>
              <w:rPr>
                <w:sz w:val="14"/>
                <w:szCs w:val="14"/>
                <w:color w:val="auto"/>
              </w:rPr>
            </w:pPr>
          </w:p>
        </w:tc>
      </w:tr>
      <w:tr>
        <w:trPr>
          <w:trHeight w:val="215"/>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3.2</w:t>
            </w:r>
          </w:p>
        </w:tc>
        <w:tc>
          <w:tcPr>
            <w:tcW w:w="5240" w:type="dxa"/>
            <w:vAlign w:val="bottom"/>
            <w:gridSpan w:val="4"/>
          </w:tcPr>
          <w:p>
            <w:pPr>
              <w:spacing w:after="0"/>
              <w:rPr>
                <w:rFonts w:ascii="Arial" w:cs="Arial" w:eastAsia="Arial" w:hAnsi="Arial"/>
                <w:sz w:val="16"/>
                <w:szCs w:val="16"/>
                <w:color w:val="0000FF"/>
              </w:rPr>
            </w:pPr>
            <w:hyperlink r:id="rId123">
              <w:r>
                <w:rPr>
                  <w:rFonts w:ascii="Arial" w:cs="Arial" w:eastAsia="Arial" w:hAnsi="Arial"/>
                  <w:sz w:val="16"/>
                  <w:szCs w:val="16"/>
                  <w:color w:val="0000FF"/>
                </w:rPr>
                <w:t>Amended and Restated Bylaws of Registrant</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001-42934</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November 10,</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10.1</w:t>
            </w:r>
          </w:p>
        </w:tc>
        <w:tc>
          <w:tcPr>
            <w:tcW w:w="5240" w:type="dxa"/>
            <w:vAlign w:val="bottom"/>
            <w:gridSpan w:val="4"/>
          </w:tcPr>
          <w:p>
            <w:pPr>
              <w:spacing w:after="0"/>
              <w:rPr>
                <w:rFonts w:ascii="Arial" w:cs="Arial" w:eastAsia="Arial" w:hAnsi="Arial"/>
                <w:sz w:val="16"/>
                <w:szCs w:val="16"/>
                <w:color w:val="0000FF"/>
              </w:rPr>
            </w:pPr>
            <w:hyperlink r:id="rId124">
              <w:r>
                <w:rPr>
                  <w:rFonts w:ascii="Arial" w:cs="Arial" w:eastAsia="Arial" w:hAnsi="Arial"/>
                  <w:sz w:val="16"/>
                  <w:szCs w:val="16"/>
                  <w:color w:val="0000FF"/>
                </w:rPr>
                <w:t>Amendment No. 1 to the Note Purchase Agreement, dated as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rPr>
              <w:t>10.2</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07,</w:t>
            </w:r>
          </w:p>
        </w:tc>
        <w:tc>
          <w:tcPr>
            <w:tcW w:w="1000" w:type="dxa"/>
            <w:vAlign w:val="bottom"/>
          </w:tcPr>
          <w:p>
            <w:pPr>
              <w:spacing w:after="0"/>
              <w:rPr>
                <w:sz w:val="17"/>
                <w:szCs w:val="17"/>
                <w:color w:val="auto"/>
              </w:rPr>
            </w:pPr>
          </w:p>
        </w:tc>
      </w:tr>
      <w:tr>
        <w:trPr>
          <w:trHeight w:val="189"/>
        </w:trPr>
        <w:tc>
          <w:tcPr>
            <w:tcW w:w="1080" w:type="dxa"/>
            <w:vAlign w:val="bottom"/>
          </w:tcPr>
          <w:p>
            <w:pPr>
              <w:spacing w:after="0"/>
              <w:rPr>
                <w:sz w:val="16"/>
                <w:szCs w:val="16"/>
                <w:color w:val="auto"/>
              </w:rPr>
            </w:pPr>
          </w:p>
        </w:tc>
        <w:tc>
          <w:tcPr>
            <w:tcW w:w="5240" w:type="dxa"/>
            <w:vAlign w:val="bottom"/>
            <w:gridSpan w:val="4"/>
          </w:tcPr>
          <w:p>
            <w:pPr>
              <w:spacing w:after="0"/>
              <w:rPr>
                <w:rFonts w:ascii="Arial" w:cs="Arial" w:eastAsia="Arial" w:hAnsi="Arial"/>
                <w:sz w:val="16"/>
                <w:szCs w:val="16"/>
                <w:color w:val="0000FF"/>
              </w:rPr>
            </w:pPr>
            <w:hyperlink r:id="rId124">
              <w:r>
                <w:rPr>
                  <w:rFonts w:ascii="Arial" w:cs="Arial" w:eastAsia="Arial" w:hAnsi="Arial"/>
                  <w:sz w:val="16"/>
                  <w:szCs w:val="16"/>
                  <w:color w:val="0000FF"/>
                </w:rPr>
                <w:t>September 4, 2025, by and among by and among the Registrant, the</w:t>
              </w:r>
            </w:hyperlink>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6"/>
                <w:szCs w:val="16"/>
                <w:color w:val="auto"/>
              </w:rPr>
            </w:pPr>
          </w:p>
        </w:tc>
      </w:tr>
      <w:tr>
        <w:trPr>
          <w:trHeight w:val="175"/>
        </w:trPr>
        <w:tc>
          <w:tcPr>
            <w:tcW w:w="1080" w:type="dxa"/>
            <w:vAlign w:val="bottom"/>
          </w:tcPr>
          <w:p>
            <w:pPr>
              <w:spacing w:after="0"/>
              <w:rPr>
                <w:sz w:val="15"/>
                <w:szCs w:val="15"/>
                <w:color w:val="auto"/>
              </w:rPr>
            </w:pPr>
          </w:p>
        </w:tc>
        <w:tc>
          <w:tcPr>
            <w:tcW w:w="5240" w:type="dxa"/>
            <w:vAlign w:val="bottom"/>
            <w:gridSpan w:val="4"/>
          </w:tcPr>
          <w:p>
            <w:pPr>
              <w:spacing w:after="0" w:line="175" w:lineRule="exact"/>
              <w:rPr>
                <w:rFonts w:ascii="Arial" w:cs="Arial" w:eastAsia="Arial" w:hAnsi="Arial"/>
                <w:sz w:val="16"/>
                <w:szCs w:val="16"/>
                <w:color w:val="0000FF"/>
              </w:rPr>
            </w:pPr>
            <w:hyperlink r:id="rId124">
              <w:r>
                <w:rPr>
                  <w:rFonts w:ascii="Arial" w:cs="Arial" w:eastAsia="Arial" w:hAnsi="Arial"/>
                  <w:sz w:val="16"/>
                  <w:szCs w:val="16"/>
                  <w:color w:val="0000FF"/>
                </w:rPr>
                <w:t>purchasers party thereto, and BWCB SA LLC (an entity affiliated with</w:t>
              </w:r>
            </w:hyperlink>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5"/>
        </w:trPr>
        <w:tc>
          <w:tcPr>
            <w:tcW w:w="108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6"/>
                <w:szCs w:val="16"/>
                <w:color w:val="0000FF"/>
              </w:rPr>
            </w:pPr>
            <w:hyperlink r:id="rId124">
              <w:r>
                <w:rPr>
                  <w:rFonts w:ascii="Arial" w:cs="Arial" w:eastAsia="Arial" w:hAnsi="Arial"/>
                  <w:sz w:val="16"/>
                  <w:szCs w:val="16"/>
                  <w:color w:val="0000FF"/>
                </w:rPr>
                <w:t>Oberland Capital Management, LLC), as purchaser’s agent.</w:t>
              </w:r>
            </w:hyperlink>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10.2</w:t>
            </w:r>
          </w:p>
        </w:tc>
        <w:tc>
          <w:tcPr>
            <w:tcW w:w="5240" w:type="dxa"/>
            <w:vAlign w:val="bottom"/>
            <w:gridSpan w:val="4"/>
          </w:tcPr>
          <w:p>
            <w:pPr>
              <w:spacing w:after="0"/>
              <w:rPr>
                <w:rFonts w:ascii="Arial" w:cs="Arial" w:eastAsia="Arial" w:hAnsi="Arial"/>
                <w:sz w:val="16"/>
                <w:szCs w:val="16"/>
                <w:color w:val="0000FF"/>
              </w:rPr>
            </w:pPr>
            <w:hyperlink r:id="rId125">
              <w:r>
                <w:rPr>
                  <w:rFonts w:ascii="Arial" w:cs="Arial" w:eastAsia="Arial" w:hAnsi="Arial"/>
                  <w:sz w:val="16"/>
                  <w:szCs w:val="16"/>
                  <w:color w:val="0000FF"/>
                </w:rPr>
                <w:t>Development and Commercialization Agreement with Janssen Biotech,</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17,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6"/>
                <w:szCs w:val="16"/>
                <w:color w:val="0000FF"/>
              </w:rPr>
            </w:pPr>
            <w:hyperlink r:id="rId125">
              <w:r>
                <w:rPr>
                  <w:rFonts w:ascii="Arial" w:cs="Arial" w:eastAsia="Arial" w:hAnsi="Arial"/>
                  <w:sz w:val="16"/>
                  <w:szCs w:val="16"/>
                  <w:color w:val="0000FF"/>
                </w:rPr>
                <w:t>Inc., dated July 11, 2025</w:t>
              </w:r>
            </w:hyperlink>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10.3</w:t>
            </w:r>
          </w:p>
        </w:tc>
        <w:tc>
          <w:tcPr>
            <w:tcW w:w="5240" w:type="dxa"/>
            <w:vAlign w:val="bottom"/>
            <w:gridSpan w:val="4"/>
          </w:tcPr>
          <w:p>
            <w:pPr>
              <w:spacing w:after="0"/>
              <w:rPr>
                <w:rFonts w:ascii="Arial" w:cs="Arial" w:eastAsia="Arial" w:hAnsi="Arial"/>
                <w:sz w:val="16"/>
                <w:szCs w:val="16"/>
                <w:color w:val="0000FF"/>
              </w:rPr>
            </w:pPr>
            <w:hyperlink r:id="rId126">
              <w:r>
                <w:rPr>
                  <w:rFonts w:ascii="Arial" w:cs="Arial" w:eastAsia="Arial" w:hAnsi="Arial"/>
                  <w:sz w:val="16"/>
                  <w:szCs w:val="16"/>
                  <w:color w:val="0000FF"/>
                </w:rPr>
                <w:t>Amendment No. 1 to Development and Commercialization Agreement</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17,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6"/>
                <w:szCs w:val="16"/>
                <w:color w:val="0000FF"/>
              </w:rPr>
            </w:pPr>
            <w:hyperlink r:id="rId126">
              <w:r>
                <w:rPr>
                  <w:rFonts w:ascii="Arial" w:cs="Arial" w:eastAsia="Arial" w:hAnsi="Arial"/>
                  <w:sz w:val="16"/>
                  <w:szCs w:val="16"/>
                  <w:color w:val="0000FF"/>
                </w:rPr>
                <w:t>with Janssen Biotech, Inc., dated October 15, 2025</w:t>
              </w:r>
            </w:hyperlink>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10.4+</w:t>
            </w:r>
          </w:p>
        </w:tc>
        <w:tc>
          <w:tcPr>
            <w:tcW w:w="5240" w:type="dxa"/>
            <w:vAlign w:val="bottom"/>
            <w:gridSpan w:val="4"/>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Form of Indemnification Agreement by and between the Registrant and</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07,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6"/>
                <w:szCs w:val="16"/>
                <w:color w:val="0000FF"/>
              </w:rPr>
            </w:pPr>
            <w:hyperlink r:id="rId127">
              <w:r>
                <w:rPr>
                  <w:rFonts w:ascii="Arial" w:cs="Arial" w:eastAsia="Arial" w:hAnsi="Arial"/>
                  <w:sz w:val="16"/>
                  <w:szCs w:val="16"/>
                  <w:color w:val="0000FF"/>
                </w:rPr>
                <w:t>each of its directors and executive officers</w:t>
              </w:r>
            </w:hyperlink>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10.5+</w:t>
            </w:r>
          </w:p>
        </w:tc>
        <w:tc>
          <w:tcPr>
            <w:tcW w:w="5240" w:type="dxa"/>
            <w:vAlign w:val="bottom"/>
            <w:gridSpan w:val="4"/>
          </w:tcPr>
          <w:p>
            <w:pPr>
              <w:spacing w:after="0"/>
              <w:rPr>
                <w:rFonts w:ascii="Arial" w:cs="Arial" w:eastAsia="Arial" w:hAnsi="Arial"/>
                <w:sz w:val="16"/>
                <w:szCs w:val="16"/>
                <w:color w:val="0000FF"/>
              </w:rPr>
            </w:pPr>
            <w:hyperlink r:id="rId128">
              <w:r>
                <w:rPr>
                  <w:rFonts w:ascii="Arial" w:cs="Arial" w:eastAsia="Arial" w:hAnsi="Arial"/>
                  <w:sz w:val="16"/>
                  <w:szCs w:val="16"/>
                  <w:color w:val="0000FF"/>
                </w:rPr>
                <w:t>2025 Equity Incentive Plan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17,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10.6+</w:t>
            </w:r>
          </w:p>
        </w:tc>
        <w:tc>
          <w:tcPr>
            <w:tcW w:w="5240" w:type="dxa"/>
            <w:vAlign w:val="bottom"/>
            <w:gridSpan w:val="4"/>
          </w:tcPr>
          <w:p>
            <w:pPr>
              <w:spacing w:after="0"/>
              <w:rPr>
                <w:rFonts w:ascii="Arial" w:cs="Arial" w:eastAsia="Arial" w:hAnsi="Arial"/>
                <w:sz w:val="16"/>
                <w:szCs w:val="16"/>
                <w:color w:val="0000FF"/>
              </w:rPr>
            </w:pPr>
            <w:hyperlink r:id="rId129">
              <w:r>
                <w:rPr>
                  <w:rFonts w:ascii="Arial" w:cs="Arial" w:eastAsia="Arial" w:hAnsi="Arial"/>
                  <w:sz w:val="16"/>
                  <w:szCs w:val="16"/>
                  <w:color w:val="0000FF"/>
                </w:rPr>
                <w:t>2025 Employee Stock Purchase Plan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17,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10.7+</w:t>
            </w:r>
          </w:p>
        </w:tc>
        <w:tc>
          <w:tcPr>
            <w:tcW w:w="5240" w:type="dxa"/>
            <w:vAlign w:val="bottom"/>
            <w:gridSpan w:val="4"/>
          </w:tcPr>
          <w:p>
            <w:pPr>
              <w:spacing w:after="0"/>
              <w:rPr>
                <w:rFonts w:ascii="Arial" w:cs="Arial" w:eastAsia="Arial" w:hAnsi="Arial"/>
                <w:sz w:val="16"/>
                <w:szCs w:val="16"/>
                <w:color w:val="0000FF"/>
              </w:rPr>
            </w:pPr>
            <w:hyperlink r:id="rId130">
              <w:r>
                <w:rPr>
                  <w:rFonts w:ascii="Arial" w:cs="Arial" w:eastAsia="Arial" w:hAnsi="Arial"/>
                  <w:sz w:val="16"/>
                  <w:szCs w:val="16"/>
                  <w:color w:val="0000FF"/>
                </w:rPr>
                <w:t>Executive Severance Plan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240" w:type="dxa"/>
            <w:vAlign w:val="bottom"/>
          </w:tcPr>
          <w:p>
            <w:pPr>
              <w:jc w:val="center"/>
              <w:spacing w:after="0"/>
              <w:rPr>
                <w:sz w:val="20"/>
                <w:szCs w:val="20"/>
                <w:color w:val="auto"/>
              </w:rPr>
            </w:pPr>
            <w:r>
              <w:rPr>
                <w:rFonts w:ascii="Arial" w:cs="Arial" w:eastAsia="Arial" w:hAnsi="Arial"/>
                <w:sz w:val="16"/>
                <w:szCs w:val="16"/>
                <w:color w:val="auto"/>
              </w:rPr>
              <w:t>October 17,</w:t>
            </w: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5"/>
        </w:trPr>
        <w:tc>
          <w:tcPr>
            <w:tcW w:w="1080" w:type="dxa"/>
            <w:vAlign w:val="bottom"/>
          </w:tcPr>
          <w:p>
            <w:pPr>
              <w:ind w:left="20"/>
              <w:spacing w:after="0"/>
              <w:rPr>
                <w:sz w:val="20"/>
                <w:szCs w:val="20"/>
                <w:color w:val="auto"/>
              </w:rPr>
            </w:pPr>
            <w:r>
              <w:rPr>
                <w:rFonts w:ascii="Arial" w:cs="Arial" w:eastAsia="Arial" w:hAnsi="Arial"/>
                <w:sz w:val="16"/>
                <w:szCs w:val="16"/>
                <w:color w:val="auto"/>
              </w:rPr>
              <w:t>31.1</w:t>
            </w:r>
          </w:p>
        </w:tc>
        <w:tc>
          <w:tcPr>
            <w:tcW w:w="5240" w:type="dxa"/>
            <w:vAlign w:val="bottom"/>
            <w:gridSpan w:val="4"/>
          </w:tcPr>
          <w:p>
            <w:pPr>
              <w:spacing w:after="0"/>
              <w:rPr>
                <w:sz w:val="20"/>
                <w:szCs w:val="20"/>
                <w:color w:val="auto"/>
              </w:rPr>
            </w:pPr>
            <w:r>
              <w:rPr>
                <w:rFonts w:ascii="Arial" w:cs="Arial" w:eastAsia="Arial" w:hAnsi="Arial"/>
                <w:sz w:val="16"/>
                <w:szCs w:val="16"/>
                <w:color w:val="0000FF"/>
              </w:rPr>
              <w:t>Certification of Chief Executive Officer pursuant to Section 302 of the</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55"/>
        </w:trPr>
        <w:tc>
          <w:tcPr>
            <w:tcW w:w="1080" w:type="dxa"/>
            <w:vAlign w:val="bottom"/>
          </w:tcPr>
          <w:p>
            <w:pPr>
              <w:spacing w:after="0"/>
              <w:rPr>
                <w:sz w:val="13"/>
                <w:szCs w:val="13"/>
                <w:color w:val="auto"/>
              </w:rPr>
            </w:pPr>
          </w:p>
        </w:tc>
        <w:tc>
          <w:tcPr>
            <w:tcW w:w="4940" w:type="dxa"/>
            <w:vAlign w:val="bottom"/>
            <w:tcBorders>
              <w:top w:val="single" w:sz="8" w:color="0000FF"/>
            </w:tcBorders>
            <w:gridSpan w:val="3"/>
          </w:tcPr>
          <w:p>
            <w:pPr>
              <w:spacing w:after="0" w:line="155" w:lineRule="exact"/>
              <w:rPr>
                <w:sz w:val="20"/>
                <w:szCs w:val="20"/>
                <w:color w:val="auto"/>
              </w:rPr>
            </w:pPr>
            <w:r>
              <w:rPr>
                <w:rFonts w:ascii="Arial" w:cs="Arial" w:eastAsia="Arial" w:hAnsi="Arial"/>
                <w:sz w:val="16"/>
                <w:szCs w:val="16"/>
                <w:color w:val="0000FF"/>
              </w:rPr>
              <w:t>Sarbanes-Oxley Act of 2002</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6"/>
                <w:szCs w:val="16"/>
                <w:color w:val="auto"/>
              </w:rPr>
              <w:t>31.2</w:t>
            </w:r>
          </w:p>
        </w:tc>
        <w:tc>
          <w:tcPr>
            <w:tcW w:w="5240" w:type="dxa"/>
            <w:vAlign w:val="bottom"/>
            <w:gridSpan w:val="4"/>
          </w:tcPr>
          <w:p>
            <w:pPr>
              <w:spacing w:after="0"/>
              <w:rPr>
                <w:sz w:val="20"/>
                <w:szCs w:val="20"/>
                <w:color w:val="auto"/>
              </w:rPr>
            </w:pPr>
            <w:r>
              <w:rPr>
                <w:rFonts w:ascii="Arial" w:cs="Arial" w:eastAsia="Arial" w:hAnsi="Arial"/>
                <w:sz w:val="16"/>
                <w:szCs w:val="16"/>
                <w:color w:val="0000FF"/>
              </w:rPr>
              <w:t>Certification of Chief Financial Officer pursuant to Section 302 of the</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55"/>
        </w:trPr>
        <w:tc>
          <w:tcPr>
            <w:tcW w:w="1080" w:type="dxa"/>
            <w:vAlign w:val="bottom"/>
          </w:tcPr>
          <w:p>
            <w:pPr>
              <w:spacing w:after="0"/>
              <w:rPr>
                <w:sz w:val="13"/>
                <w:szCs w:val="13"/>
                <w:color w:val="auto"/>
              </w:rPr>
            </w:pPr>
          </w:p>
        </w:tc>
        <w:tc>
          <w:tcPr>
            <w:tcW w:w="488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6"/>
                <w:szCs w:val="16"/>
                <w:color w:val="0000FF"/>
              </w:rPr>
              <w:t>Sarbanes-Oxley Act of 2002</w:t>
            </w:r>
          </w:p>
        </w:tc>
        <w:tc>
          <w:tcPr>
            <w:tcW w:w="3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Arial" w:cs="Arial" w:eastAsia="Arial" w:hAnsi="Arial"/>
                <w:sz w:val="16"/>
                <w:szCs w:val="16"/>
                <w:color w:val="auto"/>
              </w:rPr>
              <w:t>32.1*</w:t>
            </w:r>
          </w:p>
        </w:tc>
        <w:tc>
          <w:tcPr>
            <w:tcW w:w="49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Certification of Chief Executive Officer pursuant to Section 906 of the</w:t>
            </w:r>
          </w:p>
        </w:tc>
        <w:tc>
          <w:tcPr>
            <w:tcW w:w="4740" w:type="dxa"/>
            <w:vAlign w:val="bottom"/>
          </w:tcPr>
          <w:p>
            <w:pPr>
              <w:ind w:left="4640"/>
              <w:spacing w:after="0"/>
              <w:rPr>
                <w:sz w:val="20"/>
                <w:szCs w:val="20"/>
                <w:color w:val="auto"/>
              </w:rPr>
            </w:pPr>
            <w:r>
              <w:rPr>
                <w:rFonts w:ascii="Arial" w:cs="Arial" w:eastAsia="Arial" w:hAnsi="Arial"/>
                <w:sz w:val="16"/>
                <w:szCs w:val="16"/>
                <w:color w:val="auto"/>
                <w:w w:val="74"/>
              </w:rPr>
              <w:t>X</w:t>
            </w:r>
          </w:p>
        </w:tc>
      </w:tr>
      <w:tr>
        <w:trPr>
          <w:trHeight w:val="156"/>
        </w:trPr>
        <w:tc>
          <w:tcPr>
            <w:tcW w:w="1060" w:type="dxa"/>
            <w:vAlign w:val="bottom"/>
          </w:tcPr>
          <w:p>
            <w:pPr>
              <w:spacing w:after="0"/>
              <w:rPr>
                <w:sz w:val="13"/>
                <w:szCs w:val="13"/>
                <w:color w:val="auto"/>
              </w:rPr>
            </w:pPr>
          </w:p>
        </w:tc>
        <w:tc>
          <w:tcPr>
            <w:tcW w:w="4940" w:type="dxa"/>
            <w:vAlign w:val="bottom"/>
            <w:gridSpan w:val="3"/>
          </w:tcPr>
          <w:p>
            <w:pPr>
              <w:spacing w:after="0" w:line="155" w:lineRule="exact"/>
              <w:rPr>
                <w:sz w:val="20"/>
                <w:szCs w:val="20"/>
                <w:color w:val="auto"/>
              </w:rPr>
            </w:pPr>
            <w:r>
              <w:rPr>
                <w:rFonts w:ascii="Arial" w:cs="Arial" w:eastAsia="Arial" w:hAnsi="Arial"/>
                <w:sz w:val="16"/>
                <w:szCs w:val="16"/>
                <w:color w:val="0000FF"/>
              </w:rPr>
              <w:t>Sarbanes-Oxley Act of 2002</w:t>
            </w:r>
          </w:p>
        </w:tc>
        <w:tc>
          <w:tcPr>
            <w:tcW w:w="47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23"/>
        </w:trPr>
        <w:tc>
          <w:tcPr>
            <w:tcW w:w="1060" w:type="dxa"/>
            <w:vAlign w:val="bottom"/>
          </w:tcPr>
          <w:p>
            <w:pPr>
              <w:spacing w:after="0"/>
              <w:rPr>
                <w:sz w:val="20"/>
                <w:szCs w:val="20"/>
                <w:color w:val="auto"/>
              </w:rPr>
            </w:pPr>
            <w:r>
              <w:rPr>
                <w:rFonts w:ascii="Arial" w:cs="Arial" w:eastAsia="Arial" w:hAnsi="Arial"/>
                <w:sz w:val="16"/>
                <w:szCs w:val="16"/>
                <w:color w:val="auto"/>
              </w:rPr>
              <w:t>32.2*</w:t>
            </w:r>
          </w:p>
        </w:tc>
        <w:tc>
          <w:tcPr>
            <w:tcW w:w="4940" w:type="dxa"/>
            <w:vAlign w:val="bottom"/>
            <w:gridSpan w:val="3"/>
          </w:tcPr>
          <w:p>
            <w:pPr>
              <w:spacing w:after="0"/>
              <w:rPr>
                <w:sz w:val="20"/>
                <w:szCs w:val="20"/>
                <w:color w:val="auto"/>
              </w:rPr>
            </w:pPr>
            <w:r>
              <w:rPr>
                <w:rFonts w:ascii="Arial" w:cs="Arial" w:eastAsia="Arial" w:hAnsi="Arial"/>
                <w:sz w:val="16"/>
                <w:szCs w:val="16"/>
                <w:color w:val="0000FF"/>
              </w:rPr>
              <w:t>Certification of Chief Financial Officer pursuant to Section 906 of the</w:t>
            </w:r>
          </w:p>
        </w:tc>
        <w:tc>
          <w:tcPr>
            <w:tcW w:w="4740" w:type="dxa"/>
            <w:vAlign w:val="bottom"/>
          </w:tcPr>
          <w:p>
            <w:pPr>
              <w:ind w:left="4640"/>
              <w:spacing w:after="0"/>
              <w:rPr>
                <w:sz w:val="20"/>
                <w:szCs w:val="20"/>
                <w:color w:val="auto"/>
              </w:rPr>
            </w:pPr>
            <w:r>
              <w:rPr>
                <w:rFonts w:ascii="Arial" w:cs="Arial" w:eastAsia="Arial" w:hAnsi="Arial"/>
                <w:sz w:val="16"/>
                <w:szCs w:val="16"/>
                <w:color w:val="auto"/>
                <w:w w:val="74"/>
              </w:rPr>
              <w:t>X</w:t>
            </w:r>
          </w:p>
        </w:tc>
      </w:tr>
      <w:tr>
        <w:trPr>
          <w:trHeight w:val="155"/>
        </w:trPr>
        <w:tc>
          <w:tcPr>
            <w:tcW w:w="1060" w:type="dxa"/>
            <w:vAlign w:val="bottom"/>
          </w:tcPr>
          <w:p>
            <w:pPr>
              <w:spacing w:after="0"/>
              <w:rPr>
                <w:sz w:val="13"/>
                <w:szCs w:val="13"/>
                <w:color w:val="auto"/>
              </w:rPr>
            </w:pPr>
          </w:p>
        </w:tc>
        <w:tc>
          <w:tcPr>
            <w:tcW w:w="488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6"/>
                <w:szCs w:val="16"/>
                <w:color w:val="0000FF"/>
              </w:rPr>
              <w:t>Sarbanes-Oxley Act of 2002</w:t>
            </w:r>
          </w:p>
        </w:tc>
        <w:tc>
          <w:tcPr>
            <w:tcW w:w="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6"/>
                <w:szCs w:val="16"/>
                <w:color w:val="auto"/>
              </w:rPr>
              <w:t>101.INS</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Instance Document (the instance document does not</w:t>
            </w:r>
          </w:p>
        </w:tc>
        <w:tc>
          <w:tcPr>
            <w:tcW w:w="4740" w:type="dxa"/>
            <w:vAlign w:val="bottom"/>
          </w:tcPr>
          <w:p>
            <w:pPr>
              <w:spacing w:after="0"/>
              <w:rPr>
                <w:sz w:val="19"/>
                <w:szCs w:val="19"/>
                <w:color w:val="auto"/>
              </w:rPr>
            </w:pPr>
          </w:p>
        </w:tc>
      </w:tr>
      <w:tr>
        <w:trPr>
          <w:trHeight w:val="189"/>
        </w:trPr>
        <w:tc>
          <w:tcPr>
            <w:tcW w:w="1060" w:type="dxa"/>
            <w:vAlign w:val="bottom"/>
          </w:tcPr>
          <w:p>
            <w:pPr>
              <w:spacing w:after="0"/>
              <w:rPr>
                <w:sz w:val="16"/>
                <w:szCs w:val="16"/>
                <w:color w:val="auto"/>
              </w:rPr>
            </w:pPr>
          </w:p>
        </w:tc>
        <w:tc>
          <w:tcPr>
            <w:tcW w:w="4940" w:type="dxa"/>
            <w:vAlign w:val="bottom"/>
            <w:gridSpan w:val="3"/>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4740" w:type="dxa"/>
            <w:vAlign w:val="bottom"/>
          </w:tcPr>
          <w:p>
            <w:pPr>
              <w:spacing w:after="0"/>
              <w:rPr>
                <w:sz w:val="16"/>
                <w:szCs w:val="16"/>
                <w:color w:val="auto"/>
              </w:rPr>
            </w:pPr>
          </w:p>
        </w:tc>
      </w:tr>
      <w:tr>
        <w:trPr>
          <w:trHeight w:val="215"/>
        </w:trPr>
        <w:tc>
          <w:tcPr>
            <w:tcW w:w="106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6"/>
                <w:szCs w:val="16"/>
                <w:color w:val="auto"/>
              </w:rPr>
              <w:t>embedded within the Inline XBRL document)</w:t>
            </w:r>
          </w:p>
        </w:tc>
        <w:tc>
          <w:tcPr>
            <w:tcW w:w="4740" w:type="dxa"/>
            <w:vAlign w:val="bottom"/>
          </w:tcPr>
          <w:p>
            <w:pPr>
              <w:spacing w:after="0"/>
              <w:rPr>
                <w:sz w:val="18"/>
                <w:szCs w:val="18"/>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6"/>
                <w:szCs w:val="16"/>
                <w:color w:val="auto"/>
              </w:rPr>
              <w:t>101.SCH</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 Document</w:t>
            </w:r>
          </w:p>
        </w:tc>
        <w:tc>
          <w:tcPr>
            <w:tcW w:w="4740" w:type="dxa"/>
            <w:vAlign w:val="bottom"/>
          </w:tcPr>
          <w:p>
            <w:pPr>
              <w:spacing w:after="0"/>
              <w:rPr>
                <w:sz w:val="19"/>
                <w:szCs w:val="19"/>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6"/>
                <w:szCs w:val="16"/>
                <w:color w:val="auto"/>
              </w:rPr>
              <w:t>101.CAL</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74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6"/>
                <w:szCs w:val="16"/>
                <w:color w:val="auto"/>
              </w:rPr>
              <w:t>101.DEF</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740" w:type="dxa"/>
            <w:vAlign w:val="bottom"/>
          </w:tcPr>
          <w:p>
            <w:pPr>
              <w:spacing w:after="0"/>
              <w:rPr>
                <w:sz w:val="19"/>
                <w:szCs w:val="19"/>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6"/>
                <w:szCs w:val="16"/>
                <w:color w:val="auto"/>
              </w:rPr>
              <w:t>101.LAB</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74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6"/>
                <w:szCs w:val="16"/>
                <w:color w:val="auto"/>
              </w:rPr>
              <w:t>101.PRE</w:t>
            </w:r>
          </w:p>
        </w:tc>
        <w:tc>
          <w:tcPr>
            <w:tcW w:w="4940" w:type="dxa"/>
            <w:vAlign w:val="bottom"/>
            <w:gridSpan w:val="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740" w:type="dxa"/>
            <w:vAlign w:val="bottom"/>
          </w:tcPr>
          <w:p>
            <w:pPr>
              <w:spacing w:after="0"/>
              <w:rPr>
                <w:sz w:val="19"/>
                <w:szCs w:val="19"/>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6"/>
                <w:szCs w:val="16"/>
                <w:color w:val="auto"/>
              </w:rPr>
              <w:t>104</w:t>
            </w:r>
          </w:p>
        </w:tc>
        <w:tc>
          <w:tcPr>
            <w:tcW w:w="4940" w:type="dxa"/>
            <w:vAlign w:val="bottom"/>
            <w:gridSpan w:val="3"/>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4740" w:type="dxa"/>
            <w:vAlign w:val="bottom"/>
          </w:tcPr>
          <w:p>
            <w:pPr>
              <w:spacing w:after="0"/>
              <w:rPr>
                <w:sz w:val="19"/>
                <w:szCs w:val="19"/>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 or arrangement.</w:t>
      </w:r>
    </w:p>
    <w:p>
      <w:pPr>
        <w:spacing w:after="0" w:line="13" w:lineRule="exact"/>
        <w:rPr>
          <w:sz w:val="20"/>
          <w:szCs w:val="20"/>
          <w:color w:val="auto"/>
        </w:rPr>
      </w:pPr>
    </w:p>
    <w:p>
      <w:pPr>
        <w:jc w:val="both"/>
        <w:ind w:right="240" w:firstLine="8"/>
        <w:spacing w:after="0" w:line="260" w:lineRule="auto"/>
        <w:tabs>
          <w:tab w:leader="none" w:pos="112"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 has omitted portions of the exhibit (indicated by “[*]”) as permitted under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283" w:lineRule="auto"/>
        <w:rPr>
          <w:rFonts w:ascii="Arial" w:cs="Arial" w:eastAsia="Arial" w:hAnsi="Arial"/>
          <w:sz w:val="13"/>
          <w:szCs w:val="13"/>
          <w:color w:val="auto"/>
        </w:rPr>
      </w:pPr>
      <w:r>
        <w:rPr>
          <w:rFonts w:ascii="Arial" w:cs="Arial" w:eastAsia="Arial" w:hAnsi="Arial"/>
          <w:sz w:val="13"/>
          <w:szCs w:val="13"/>
          <w:color w:val="auto"/>
        </w:rPr>
        <w:t>* 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Registration Statement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1220" w:type="dxa"/>
            <w:vAlign w:val="bottom"/>
            <w:gridSpan w:val="4"/>
          </w:tcPr>
          <w:p>
            <w:pPr>
              <w:ind w:left="6100"/>
              <w:spacing w:after="0"/>
              <w:rPr>
                <w:sz w:val="20"/>
                <w:szCs w:val="20"/>
                <w:color w:val="auto"/>
              </w:rPr>
            </w:pPr>
            <w:r>
              <w:rPr>
                <w:rFonts w:ascii="Arial" w:cs="Arial" w:eastAsia="Arial" w:hAnsi="Arial"/>
                <w:sz w:val="18"/>
                <w:szCs w:val="18"/>
                <w:b w:val="1"/>
                <w:bCs w:val="1"/>
                <w:color w:val="auto"/>
              </w:rPr>
              <w:t>BillionToOne, Inc.</w:t>
            </w:r>
          </w:p>
        </w:tc>
      </w:tr>
      <w:tr>
        <w:trPr>
          <w:trHeight w:val="357"/>
        </w:trPr>
        <w:tc>
          <w:tcPr>
            <w:tcW w:w="6120" w:type="dxa"/>
            <w:vAlign w:val="bottom"/>
          </w:tcPr>
          <w:p>
            <w:pPr>
              <w:spacing w:after="0"/>
              <w:rPr>
                <w:sz w:val="20"/>
                <w:szCs w:val="20"/>
                <w:color w:val="auto"/>
              </w:rPr>
            </w:pPr>
            <w:r>
              <w:rPr>
                <w:rFonts w:ascii="Arial" w:cs="Arial" w:eastAsia="Arial" w:hAnsi="Arial"/>
                <w:sz w:val="18"/>
                <w:szCs w:val="18"/>
                <w:color w:val="auto"/>
              </w:rPr>
              <w:t>Date: December 10, 2025</w:t>
            </w:r>
          </w:p>
        </w:tc>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Oguzhan Atay</w:t>
            </w:r>
          </w:p>
        </w:tc>
      </w:tr>
      <w:tr>
        <w:trPr>
          <w:trHeight w:val="23"/>
        </w:trPr>
        <w:tc>
          <w:tcPr>
            <w:tcW w:w="6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540" w:type="dxa"/>
            <w:vAlign w:val="bottom"/>
          </w:tcPr>
          <w:p>
            <w:pPr>
              <w:spacing w:after="0"/>
              <w:rPr>
                <w:sz w:val="2"/>
                <w:szCs w:val="2"/>
                <w:color w:val="auto"/>
              </w:rPr>
            </w:pPr>
          </w:p>
        </w:tc>
      </w:tr>
      <w:tr>
        <w:trPr>
          <w:trHeight w:val="247"/>
        </w:trPr>
        <w:tc>
          <w:tcPr>
            <w:tcW w:w="6120" w:type="dxa"/>
            <w:vAlign w:val="bottom"/>
          </w:tcPr>
          <w:p>
            <w:pPr>
              <w:ind w:left="6060"/>
              <w:spacing w:after="0"/>
              <w:rPr>
                <w:sz w:val="20"/>
                <w:szCs w:val="20"/>
                <w:color w:val="auto"/>
              </w:rPr>
            </w:pPr>
            <w:r>
              <w:rPr>
                <w:rFonts w:ascii="Arial" w:cs="Arial" w:eastAsia="Arial" w:hAnsi="Arial"/>
                <w:sz w:val="4"/>
                <w:szCs w:val="4"/>
                <w:color w:val="auto"/>
                <w:w w:val="98"/>
              </w:rPr>
              <w:t> </w:t>
            </w:r>
          </w:p>
        </w:tc>
        <w:tc>
          <w:tcPr>
            <w:tcW w:w="460" w:type="dxa"/>
            <w:vAlign w:val="bottom"/>
          </w:tcPr>
          <w:p>
            <w:pPr>
              <w:ind w:left="120"/>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auto"/>
            </w:tcBorders>
          </w:tcPr>
          <w:p>
            <w:pPr>
              <w:spacing w:after="0"/>
              <w:rPr>
                <w:sz w:val="21"/>
                <w:szCs w:val="21"/>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Oguzhan Atay</w:t>
            </w:r>
          </w:p>
        </w:tc>
      </w:tr>
      <w:tr>
        <w:trPr>
          <w:trHeight w:val="230"/>
        </w:trPr>
        <w:tc>
          <w:tcPr>
            <w:tcW w:w="6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7"/>
        </w:trPr>
        <w:tc>
          <w:tcPr>
            <w:tcW w:w="6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13"/>
        </w:trPr>
        <w:tc>
          <w:tcPr>
            <w:tcW w:w="6120" w:type="dxa"/>
            <w:vAlign w:val="bottom"/>
          </w:tcPr>
          <w:p>
            <w:pPr>
              <w:spacing w:after="0"/>
              <w:rPr>
                <w:sz w:val="20"/>
                <w:szCs w:val="20"/>
                <w:color w:val="auto"/>
              </w:rPr>
            </w:pPr>
            <w:r>
              <w:rPr>
                <w:rFonts w:ascii="Arial" w:cs="Arial" w:eastAsia="Arial" w:hAnsi="Arial"/>
                <w:sz w:val="18"/>
                <w:szCs w:val="18"/>
                <w:color w:val="auto"/>
              </w:rPr>
              <w:t>Date: December 10, 2025</w:t>
            </w:r>
          </w:p>
        </w:tc>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Ross Taylor</w:t>
            </w:r>
          </w:p>
        </w:tc>
      </w:tr>
      <w:tr>
        <w:trPr>
          <w:trHeight w:val="23"/>
        </w:trPr>
        <w:tc>
          <w:tcPr>
            <w:tcW w:w="6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18"/>
        </w:trPr>
        <w:tc>
          <w:tcPr>
            <w:tcW w:w="6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Ross Taylor</w:t>
            </w:r>
          </w:p>
        </w:tc>
      </w:tr>
      <w:tr>
        <w:trPr>
          <w:trHeight w:val="232"/>
        </w:trPr>
        <w:tc>
          <w:tcPr>
            <w:tcW w:w="6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6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Oguzhan Atay, certify that:</w:t>
      </w:r>
    </w:p>
    <w:p>
      <w:pPr>
        <w:spacing w:after="0" w:line="239"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BillionToOne, Inc.;</w:t>
      </w:r>
    </w:p>
    <w:p>
      <w:pPr>
        <w:spacing w:after="0" w:line="238" w:lineRule="exact"/>
        <w:rPr>
          <w:rFonts w:ascii="Arial" w:cs="Arial" w:eastAsia="Arial" w:hAnsi="Arial"/>
          <w:sz w:val="18"/>
          <w:szCs w:val="18"/>
          <w:color w:val="auto"/>
        </w:rPr>
      </w:pPr>
    </w:p>
    <w:p>
      <w:pPr>
        <w:ind w:right="100" w:firstLine="8"/>
        <w:spacing w:after="0" w:line="245"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right="480" w:firstLine="8"/>
        <w:spacing w:after="0" w:line="271"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right="360" w:firstLine="8"/>
        <w:spacing w:after="0" w:line="271"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right="480" w:firstLine="255"/>
        <w:spacing w:after="0" w:line="253" w:lineRule="auto"/>
        <w:tabs>
          <w:tab w:leader="none" w:pos="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520" w:hanging="265"/>
        <w:spacing w:after="0"/>
        <w:tabs>
          <w:tab w:leader="none" w:pos="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right="80" w:firstLine="255"/>
        <w:spacing w:after="0" w:line="271" w:lineRule="auto"/>
        <w:tabs>
          <w:tab w:leader="none" w:pos="5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right="20" w:firstLine="255"/>
        <w:spacing w:after="0" w:line="245" w:lineRule="auto"/>
        <w:tabs>
          <w:tab w:leader="none" w:pos="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right="460" w:firstLine="8"/>
        <w:spacing w:after="0" w:line="253"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right="400" w:firstLine="255"/>
        <w:spacing w:after="0" w:line="271" w:lineRule="auto"/>
        <w:tabs>
          <w:tab w:leader="none" w:pos="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right="620" w:firstLine="255"/>
        <w:spacing w:after="0" w:line="271" w:lineRule="auto"/>
        <w:tabs>
          <w:tab w:leader="none" w:pos="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4200" w:val="left"/>
          <w:tab w:leader="none" w:pos="7340" w:val="left"/>
        </w:tabs>
        <w:rPr>
          <w:sz w:val="20"/>
          <w:szCs w:val="20"/>
          <w:color w:val="auto"/>
        </w:rPr>
      </w:pPr>
      <w:r>
        <w:rPr>
          <w:rFonts w:ascii="Arial" w:cs="Arial" w:eastAsia="Arial" w:hAnsi="Arial"/>
          <w:sz w:val="18"/>
          <w:szCs w:val="18"/>
          <w:color w:val="auto"/>
        </w:rPr>
        <w:t>Date: December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Oguzhan Atay</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Ross Taylor, certify that:</w:t>
      </w:r>
    </w:p>
    <w:p>
      <w:pPr>
        <w:spacing w:after="0" w:line="239"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BillionToOne, Inc.;</w:t>
      </w:r>
    </w:p>
    <w:p>
      <w:pPr>
        <w:spacing w:after="0" w:line="238" w:lineRule="exact"/>
        <w:rPr>
          <w:rFonts w:ascii="Arial" w:cs="Arial" w:eastAsia="Arial" w:hAnsi="Arial"/>
          <w:sz w:val="18"/>
          <w:szCs w:val="18"/>
          <w:color w:val="auto"/>
        </w:rPr>
      </w:pPr>
    </w:p>
    <w:p>
      <w:pPr>
        <w:ind w:right="100" w:firstLine="8"/>
        <w:spacing w:after="0" w:line="245"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right="480" w:firstLine="8"/>
        <w:spacing w:after="0" w:line="271"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right="360" w:firstLine="8"/>
        <w:spacing w:after="0" w:line="271"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right="480" w:firstLine="255"/>
        <w:spacing w:after="0" w:line="253" w:lineRule="auto"/>
        <w:tabs>
          <w:tab w:leader="none" w:pos="5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520" w:hanging="265"/>
        <w:spacing w:after="0"/>
        <w:tabs>
          <w:tab w:leader="none" w:pos="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right="80" w:firstLine="255"/>
        <w:spacing w:after="0" w:line="271" w:lineRule="auto"/>
        <w:tabs>
          <w:tab w:leader="none" w:pos="50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right="20" w:firstLine="255"/>
        <w:spacing w:after="0" w:line="245" w:lineRule="auto"/>
        <w:tabs>
          <w:tab w:leader="none" w:pos="5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right="460" w:firstLine="8"/>
        <w:spacing w:after="0" w:line="253"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right="400" w:firstLine="255"/>
        <w:spacing w:after="0" w:line="271" w:lineRule="auto"/>
        <w:tabs>
          <w:tab w:leader="none" w:pos="5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right="620" w:firstLine="255"/>
        <w:spacing w:after="0" w:line="271" w:lineRule="auto"/>
        <w:tabs>
          <w:tab w:leader="none" w:pos="5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4200" w:val="left"/>
          <w:tab w:leader="none" w:pos="7440" w:val="left"/>
        </w:tabs>
        <w:rPr>
          <w:sz w:val="20"/>
          <w:szCs w:val="20"/>
          <w:color w:val="auto"/>
        </w:rPr>
      </w:pPr>
      <w:r>
        <w:rPr>
          <w:rFonts w:ascii="Arial" w:cs="Arial" w:eastAsia="Arial" w:hAnsi="Arial"/>
          <w:sz w:val="18"/>
          <w:szCs w:val="18"/>
          <w:color w:val="auto"/>
        </w:rPr>
        <w:t>Date: December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Ross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Ross Taylor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6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connection with the Quarterly Report of BillionToOne,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480" w:firstLine="8"/>
        <w:spacing w:after="0" w:line="271"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ind w:left="20"/>
        <w:spacing w:after="0"/>
        <w:tabs>
          <w:tab w:leader="none" w:pos="4200" w:val="left"/>
          <w:tab w:leader="none" w:pos="7340" w:val="left"/>
        </w:tabs>
        <w:rPr>
          <w:sz w:val="20"/>
          <w:szCs w:val="20"/>
          <w:color w:val="auto"/>
        </w:rPr>
      </w:pPr>
      <w:r>
        <w:rPr>
          <w:rFonts w:ascii="Arial" w:cs="Arial" w:eastAsia="Arial" w:hAnsi="Arial"/>
          <w:sz w:val="18"/>
          <w:szCs w:val="18"/>
          <w:color w:val="auto"/>
        </w:rPr>
        <w:t>Date: December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Oguzhan Atay</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connection with the Quarterly Report of BillionToOne,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480" w:firstLine="8"/>
        <w:spacing w:after="0" w:line="271"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ind w:left="20"/>
        <w:spacing w:after="0"/>
        <w:tabs>
          <w:tab w:leader="none" w:pos="4200" w:val="left"/>
          <w:tab w:leader="none" w:pos="7440" w:val="left"/>
        </w:tabs>
        <w:rPr>
          <w:sz w:val="20"/>
          <w:szCs w:val="20"/>
          <w:color w:val="auto"/>
        </w:rPr>
      </w:pPr>
      <w:r>
        <w:rPr>
          <w:rFonts w:ascii="Arial" w:cs="Arial" w:eastAsia="Arial" w:hAnsi="Arial"/>
          <w:sz w:val="18"/>
          <w:szCs w:val="18"/>
          <w:color w:val="auto"/>
        </w:rPr>
        <w:t>Date: December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Ross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Ross Taylor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6"/>
    </w:lvl>
  </w:abstractNum>
  <w:abstractNum w:abstractNumId="6">
    <w:nsid w:val="79838CB2"/>
    <w:multiLevelType w:val="hybridMultilevel"/>
    <w:lvl w:ilvl="0">
      <w:lvlJc w:val="left"/>
      <w:lvlText w:val="(%1)"/>
      <w:numFmt w:val="lowerLetter"/>
      <w:start w:val="25"/>
    </w:lvl>
  </w:abstractNum>
  <w:abstractNum w:abstractNumId="7">
    <w:nsid w:val="4353D0CD"/>
    <w:multiLevelType w:val="hybridMultilevel"/>
    <w:lvl w:ilvl="0">
      <w:lvlJc w:val="left"/>
      <w:lvlText w:val="1"/>
      <w:numFmt w:val="bullet"/>
      <w:start w:val="1"/>
    </w:lvl>
  </w:abstractNum>
  <w:abstractNum w:abstractNumId="8">
    <w:nsid w:val="B03E0C6"/>
    <w:multiLevelType w:val="hybridMultilevel"/>
    <w:lvl w:ilvl="0">
      <w:lvlJc w:val="left"/>
      <w:lvlText w:val="2"/>
      <w:numFmt w:val="bullet"/>
      <w:start w:val="1"/>
    </w:lvl>
  </w:abstractNum>
  <w:abstractNum w:abstractNumId="9">
    <w:nsid w:val="189A769B"/>
    <w:multiLevelType w:val="hybridMultilevel"/>
    <w:lvl w:ilvl="0">
      <w:lvlJc w:val="left"/>
      <w:lvlText w:val="3"/>
      <w:numFmt w:val="bullet"/>
      <w:start w:val="1"/>
    </w:lvl>
  </w:abstractNum>
  <w:abstractNum w:abstractNumId="10">
    <w:nsid w:val="54E49EB4"/>
    <w:multiLevelType w:val="hybridMultilevel"/>
    <w:lvl w:ilvl="0">
      <w:lvlJc w:val="left"/>
      <w:lvlText w:val="4"/>
      <w:numFmt w:val="bullet"/>
      <w:start w:val="1"/>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5"/>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lvl w:ilvl="1">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22" Type="http://schemas.openxmlformats.org/officeDocument/2006/relationships/hyperlink" Target="https://www.sec.gov/Archives/edgar/data/2070849/000119312525274195/d59194dex31.htm" TargetMode="External"/><Relationship Id="rId123" Type="http://schemas.openxmlformats.org/officeDocument/2006/relationships/hyperlink" Target="https://www.sec.gov/Archives/edgar/data/2070849/000119312525274195/d59194dex32.htm" TargetMode="External"/><Relationship Id="rId124" Type="http://schemas.openxmlformats.org/officeDocument/2006/relationships/hyperlink" Target="https://www.sec.gov/Archives/edgar/data/2070849/000119312525233697/d903739dex102.htm" TargetMode="External"/><Relationship Id="rId125" Type="http://schemas.openxmlformats.org/officeDocument/2006/relationships/hyperlink" Target="https://www.sec.gov/Archives/edgar/data/2070849/000119312525233697/d903739dex1010.htm" TargetMode="External"/><Relationship Id="rId126" Type="http://schemas.openxmlformats.org/officeDocument/2006/relationships/hyperlink" Target="https://www.sec.gov/Archives/edgar/data/2070849/000119312525242632/d903739dex1011.htm" TargetMode="External"/><Relationship Id="rId127" Type="http://schemas.openxmlformats.org/officeDocument/2006/relationships/hyperlink" Target="https://www.sec.gov/Archives/edgar/data/2070849/000119312525233697/d903739dex1011.htm" TargetMode="External"/><Relationship Id="rId128" Type="http://schemas.openxmlformats.org/officeDocument/2006/relationships/hyperlink" Target="https://www.sec.gov/Archives/edgar/data/2070849/000119312525242632/d903739dex1014.htm" TargetMode="External"/><Relationship Id="rId129" Type="http://schemas.openxmlformats.org/officeDocument/2006/relationships/hyperlink" Target="https://www.sec.gov/Archives/edgar/data/2070849/000119312525242632/d903739dex1015.htm" TargetMode="External"/><Relationship Id="rId130" Type="http://schemas.openxmlformats.org/officeDocument/2006/relationships/hyperlink" Target="https://www.sec.gov/Archives/edgar/data/2070849/000119312525242632/d903739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2025-12-10T15:35:53Z</dcterms:created>
  <dcterms:modified xsi:type="dcterms:W3CDTF">2025-12-10T15:35:53Z</dcterms:modified>
</cp:coreProperties>
</file>