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386" w:before="43" w:after="20"/>
              <w:jc w:val="left"/>
              <w:rPr>
                <w:rFonts w:ascii="Arial;sans-serif" w:hAnsi="Arial;sans-serif"/>
                <w:b/>
                <w:color w:val="000000"/>
                <w:sz w:val="20"/>
              </w:rPr>
            </w:pPr>
            <w:r>
              <w:rPr>
                <w:rFonts w:ascii="Arial;sans-serif" w:hAnsi="Arial;sans-serif"/>
                <w:b/>
                <w:color w:val="000000"/>
                <w:sz w:val="20"/>
              </w:rPr>
              <w:t xml:space="preserve">QUARTERLY REPORT PURSUANT TO SECTION 13 OR 15(d) OF THE SECURITIES EXCHANGE ACT OF 1934 </w:t>
            </w:r>
          </w:p>
        </w:tc>
      </w:tr>
    </w:tbl>
    <w:p>
      <w:pPr>
        <w:pStyle w:val="TextBody"/>
        <w:bidi w:val="0"/>
        <w:spacing w:lineRule="auto" w:line="288" w:before="80" w:after="60"/>
        <w:jc w:val="center"/>
        <w:rPr>
          <w:rFonts w:ascii="Arial;sans-serif" w:hAnsi="Arial;sans-serif"/>
          <w:b/>
          <w:color w:val="000000"/>
          <w:sz w:val="20"/>
        </w:rPr>
      </w:pPr>
      <w:r>
        <w:rPr>
          <w:rFonts w:ascii="Arial;sans-serif" w:hAnsi="Arial;sans-serif"/>
          <w:b/>
          <w:color w:val="000000"/>
          <w:sz w:val="20"/>
        </w:rPr>
        <w:t>For the quarterly period ended March 31, 2026</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386" w:before="43"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80" w:after="180"/>
        <w:jc w:val="center"/>
        <w:rPr>
          <w:rFonts w:ascii="Arial;sans-serif" w:hAnsi="Arial;sans-serif"/>
          <w:b/>
          <w:color w:val="000000"/>
          <w:sz w:val="20"/>
        </w:rPr>
      </w:pPr>
      <w:r>
        <w:rPr>
          <w:rFonts w:ascii="Arial;sans-serif" w:hAnsi="Arial;sans-serif"/>
          <w:b/>
          <w:color w:val="000000"/>
          <w:sz w:val="20"/>
        </w:rPr>
        <w:t>For the transition period from _____ to _____</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Commission file number 001-42934</w:t>
      </w:r>
    </w:p>
    <w:p>
      <w:pPr>
        <w:pStyle w:val="TextBody"/>
        <w:bidi w:val="0"/>
        <w:spacing w:lineRule="auto" w:line="288"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BillionToOne,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w:t>
      </w:r>
    </w:p>
    <w:tbl>
      <w:tblPr>
        <w:tblW w:w="8666" w:type="dxa"/>
        <w:jc w:val="left"/>
        <w:tblInd w:w="0" w:type="dxa"/>
        <w:tblLayout w:type="fixed"/>
        <w:tblCellMar>
          <w:top w:w="28" w:type="dxa"/>
          <w:left w:w="28" w:type="dxa"/>
          <w:bottom w:w="28" w:type="dxa"/>
          <w:right w:w="28" w:type="dxa"/>
        </w:tblCellMar>
      </w:tblPr>
      <w:tblGrid>
        <w:gridCol w:w="1860"/>
        <w:gridCol w:w="1634"/>
        <w:gridCol w:w="1651"/>
        <w:gridCol w:w="109"/>
        <w:gridCol w:w="109"/>
        <w:gridCol w:w="109"/>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81-1082020</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1035 O’Brien Drive</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Menlo Park,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94025</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(650) 460-2551</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135"/>
        <w:gridCol w:w="995"/>
        <w:gridCol w:w="1005"/>
        <w:gridCol w:w="564"/>
        <w:gridCol w:w="564"/>
        <w:gridCol w:w="566"/>
        <w:gridCol w:w="1170"/>
        <w:gridCol w:w="1170"/>
        <w:gridCol w:w="1664"/>
      </w:tblGrid>
      <w:tr>
        <w:trPr/>
        <w:tc>
          <w:tcPr>
            <w:tcW w:w="1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par value </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BLLN</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$0.00001 per share</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Arial;sans-serif" w:hAnsi="Arial;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May 4, 2026, there were 41,442,834 shares of Class A common stock and 4,552,650 shares of Class B common stock, each with a par value $0.00001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TABLE OF CONTENTS</w:t>
      </w:r>
    </w:p>
    <w:tbl>
      <w:tblPr>
        <w:tblW w:w="9783" w:type="dxa"/>
        <w:jc w:val="left"/>
        <w:tblInd w:w="0" w:type="dxa"/>
        <w:tblLayout w:type="fixed"/>
        <w:tblCellMar>
          <w:top w:w="28" w:type="dxa"/>
          <w:left w:w="28" w:type="dxa"/>
          <w:bottom w:w="28" w:type="dxa"/>
          <w:right w:w="28" w:type="dxa"/>
        </w:tblCellMar>
      </w:tblPr>
      <w:tblGrid>
        <w:gridCol w:w="458"/>
        <w:gridCol w:w="402"/>
        <w:gridCol w:w="402"/>
        <w:gridCol w:w="2622"/>
        <w:gridCol w:w="2622"/>
        <w:gridCol w:w="2661"/>
        <w:gridCol w:w="180"/>
        <w:gridCol w:w="180"/>
        <w:gridCol w:w="256"/>
      </w:tblGrid>
      <w:tr>
        <w:trPr/>
        <w:tc>
          <w:tcPr>
            <w:tcW w:w="4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79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0">
              <w:r>
                <w:rPr>
                  <w:rStyle w:val="InternetLink"/>
                  <w:rFonts w:ascii="Arial;sans-serif" w:hAnsi="Arial;sans-serif"/>
                  <w:b w:val="false"/>
                  <w:strike w:val="false"/>
                  <w:dstrike w:val="false"/>
                  <w:color w:val="0000FF"/>
                  <w:sz w:val="20"/>
                  <w:u w:val="none"/>
                  <w:effect w:val="none"/>
                </w:rPr>
                <w:t>Part I 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0">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3">
              <w:r>
                <w:rPr>
                  <w:rStyle w:val="InternetLink"/>
                  <w:rFonts w:ascii="Arial;sans-serif" w:hAnsi="Arial;sans-serif"/>
                  <w:b w:val="false"/>
                  <w:strike w:val="false"/>
                  <w:dstrike w:val="false"/>
                  <w:color w:val="0000FF"/>
                  <w:sz w:val="20"/>
                  <w:u w:val="none"/>
                  <w:effect w:val="non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3">
              <w:r>
                <w:rPr>
                  <w:rStyle w:val="InternetLink"/>
                  <w:rFonts w:ascii="Arial;sans-serif" w:hAnsi="Arial;sans-serif"/>
                  <w:b w:val="false"/>
                  <w:strike w:val="false"/>
                  <w:dstrike w:val="false"/>
                  <w:color w:val="0000FF"/>
                  <w:sz w:val="20"/>
                  <w:u w:val="none"/>
                  <w:effect w:val="non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3">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6">
              <w:r>
                <w:rPr>
                  <w:rStyle w:val="InternetLink"/>
                  <w:rFonts w:ascii="Arial;sans-serif" w:hAnsi="Arial;sans-serif"/>
                  <w:b w:val="false"/>
                  <w:strike w:val="false"/>
                  <w:dstrike w:val="false"/>
                  <w:color w:val="0000FF"/>
                  <w:sz w:val="20"/>
                  <w:u w:val="none"/>
                  <w:effect w:val="none"/>
                </w:rPr>
                <w:t xml:space="preserve">Balance Sheets </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6">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9">
              <w:r>
                <w:rPr>
                  <w:rStyle w:val="InternetLink"/>
                  <w:rFonts w:ascii="Arial;sans-serif" w:hAnsi="Arial;sans-serif"/>
                  <w:b w:val="false"/>
                  <w:strike w:val="false"/>
                  <w:dstrike w:val="false"/>
                  <w:color w:val="0000FF"/>
                  <w:sz w:val="20"/>
                  <w:u w:val="none"/>
                  <w:effect w:val="none"/>
                </w:rPr>
                <w:t>Statements of Operations and Comprehensive Income (Loss)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9">
              <w:r>
                <w:rPr>
                  <w:rStyle w:val="InternetLink"/>
                  <w:rFonts w:ascii="Arial;sans-serif" w:hAnsi="Arial;sans-serif"/>
                  <w:b w:val="false"/>
                  <w:strike w:val="false"/>
                  <w:dstrike w:val="false"/>
                  <w:color w:val="0000FF"/>
                  <w:sz w:val="20"/>
                  <w:u w:val="none"/>
                  <w:effect w:val="none"/>
                </w:rPr>
                <w:t>5</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22">
              <w:r>
                <w:rPr>
                  <w:rStyle w:val="InternetLink"/>
                  <w:rFonts w:ascii="Arial;sans-serif" w:hAnsi="Arial;sans-serif"/>
                  <w:b w:val="false"/>
                  <w:strike w:val="false"/>
                  <w:dstrike w:val="false"/>
                  <w:color w:val="0000FF"/>
                  <w:sz w:val="20"/>
                  <w:u w:val="none"/>
                  <w:effect w:val="none"/>
                </w:rPr>
                <w:t>Statements of Redeemable Convertible Preferred Stock and Stockholders’ Equity (Deficit)</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22">
              <w:r>
                <w:rPr>
                  <w:rStyle w:val="InternetLink"/>
                  <w:rFonts w:ascii="Arial;sans-serif" w:hAnsi="Arial;sans-serif"/>
                  <w:b w:val="false"/>
                  <w:strike w:val="false"/>
                  <w:dstrike w:val="false"/>
                  <w:color w:val="0000FF"/>
                  <w:sz w:val="20"/>
                  <w:u w:val="none"/>
                  <w:effect w:val="none"/>
                </w:rPr>
                <w:t>6</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25">
              <w:r>
                <w:rPr>
                  <w:rStyle w:val="InternetLink"/>
                  <w:rFonts w:ascii="Arial;sans-serif" w:hAnsi="Arial;sans-serif"/>
                  <w:b w:val="false"/>
                  <w:strike w:val="false"/>
                  <w:dstrike w:val="false"/>
                  <w:color w:val="0000FF"/>
                  <w:sz w:val="20"/>
                  <w:u w:val="none"/>
                  <w:effect w:val="none"/>
                </w:rPr>
                <w:t xml:space="preserve">Statements of Cash Flows </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25">
              <w:r>
                <w:rPr>
                  <w:rStyle w:val="InternetLink"/>
                  <w:rFonts w:ascii="Arial;sans-serif" w:hAnsi="Arial;sans-serif"/>
                  <w:b w:val="false"/>
                  <w:strike w:val="false"/>
                  <w:dstrike w:val="false"/>
                  <w:color w:val="0000FF"/>
                  <w:sz w:val="20"/>
                  <w:u w:val="none"/>
                  <w:effect w:val="none"/>
                </w:rPr>
                <w:t>7</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28">
              <w:r>
                <w:rPr>
                  <w:rStyle w:val="InternetLink"/>
                  <w:rFonts w:ascii="Arial;sans-serif" w:hAnsi="Arial;sans-serif"/>
                  <w:b w:val="false"/>
                  <w:strike w:val="false"/>
                  <w:dstrike w:val="false"/>
                  <w:color w:val="0000FF"/>
                  <w:sz w:val="20"/>
                  <w:u w:val="none"/>
                  <w:effect w:val="none"/>
                </w:rPr>
                <w:t>Notes to Unaudited Interim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28">
              <w:r>
                <w:rPr>
                  <w:rStyle w:val="InternetLink"/>
                  <w:rFonts w:ascii="Arial;sans-serif" w:hAnsi="Arial;sans-serif"/>
                  <w:b w:val="false"/>
                  <w:strike w:val="false"/>
                  <w:dstrike w:val="false"/>
                  <w:color w:val="0000FF"/>
                  <w:sz w:val="20"/>
                  <w:u w:val="none"/>
                  <w:effect w:val="none"/>
                </w:rPr>
                <w:t>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76">
              <w:r>
                <w:rPr>
                  <w:rStyle w:val="InternetLink"/>
                  <w:rFonts w:ascii="Arial;sans-serif" w:hAnsi="Arial;sans-serif"/>
                  <w:b w:val="false"/>
                  <w:strike w:val="false"/>
                  <w:dstrike w:val="false"/>
                  <w:color w:val="0000FF"/>
                  <w:sz w:val="20"/>
                  <w:u w:val="none"/>
                  <w:effect w:val="non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76">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76">
              <w:r>
                <w:rPr>
                  <w:rStyle w:val="InternetLink"/>
                  <w:rFonts w:ascii="Arial;sans-serif" w:hAnsi="Arial;sans-serif"/>
                  <w:b w:val="false"/>
                  <w:strike w:val="false"/>
                  <w:dstrike w:val="false"/>
                  <w:color w:val="0000FF"/>
                  <w:sz w:val="20"/>
                  <w:u w:val="none"/>
                  <w:effect w:val="none"/>
                </w:rPr>
                <w:t>24</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21">
              <w:r>
                <w:rPr>
                  <w:rStyle w:val="InternetLink"/>
                  <w:rFonts w:ascii="Arial;sans-serif" w:hAnsi="Arial;sans-serif"/>
                  <w:b w:val="false"/>
                  <w:strike w:val="false"/>
                  <w:dstrike w:val="false"/>
                  <w:color w:val="0000FF"/>
                  <w:sz w:val="20"/>
                  <w:u w:val="none"/>
                  <w:effect w:val="none"/>
                </w:rPr>
                <w:t>Item 3.</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21">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21">
              <w:r>
                <w:rPr>
                  <w:rStyle w:val="InternetLink"/>
                  <w:rFonts w:ascii="Arial;sans-serif" w:hAnsi="Arial;sans-serif"/>
                  <w:b w:val="false"/>
                  <w:strike w:val="false"/>
                  <w:dstrike w:val="false"/>
                  <w:color w:val="0000FF"/>
                  <w:sz w:val="20"/>
                  <w:u w:val="none"/>
                  <w:effect w:val="none"/>
                </w:rPr>
                <w:t>36</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24">
              <w:r>
                <w:rPr>
                  <w:rStyle w:val="InternetLink"/>
                  <w:rFonts w:ascii="Arial;sans-serif" w:hAnsi="Arial;sans-serif"/>
                  <w:b w:val="false"/>
                  <w:strike w:val="false"/>
                  <w:dstrike w:val="false"/>
                  <w:color w:val="0000FF"/>
                  <w:sz w:val="20"/>
                  <w:u w:val="none"/>
                  <w:effect w:val="none"/>
                </w:rPr>
                <w:t>Item 4.</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24">
              <w:r>
                <w:rPr>
                  <w:rStyle w:val="InternetLink"/>
                  <w:rFonts w:ascii="Arial;sans-serif" w:hAnsi="Arial;sans-serif"/>
                  <w:b w:val="false"/>
                  <w:strike w:val="false"/>
                  <w:dstrike w:val="false"/>
                  <w:color w:val="0000FF"/>
                  <w:sz w:val="20"/>
                  <w:u w:val="none"/>
                  <w:effect w:val="non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24">
              <w:r>
                <w:rPr>
                  <w:rStyle w:val="InternetLink"/>
                  <w:rFonts w:ascii="Arial;sans-serif" w:hAnsi="Arial;sans-serif"/>
                  <w:b w:val="false"/>
                  <w:strike w:val="false"/>
                  <w:dstrike w:val="false"/>
                  <w:color w:val="0000FF"/>
                  <w:sz w:val="20"/>
                  <w:u w:val="none"/>
                  <w:effect w:val="none"/>
                </w:rPr>
                <w:t>37</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27">
              <w:r>
                <w:rPr>
                  <w:rStyle w:val="InternetLink"/>
                  <w:rFonts w:ascii="Arial;sans-serif" w:hAnsi="Arial;sans-serif"/>
                  <w:b w:val="false"/>
                  <w:strike w:val="false"/>
                  <w:dstrike w:val="false"/>
                  <w:color w:val="0000FF"/>
                  <w:sz w:val="20"/>
                  <w:u w:val="none"/>
                  <w:effect w:val="non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27">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30">
              <w:r>
                <w:rPr>
                  <w:rStyle w:val="InternetLink"/>
                  <w:rFonts w:ascii="Arial;sans-serif" w:hAnsi="Arial;sans-serif"/>
                  <w:b w:val="false"/>
                  <w:strike w:val="false"/>
                  <w:dstrike w:val="false"/>
                  <w:color w:val="0000FF"/>
                  <w:sz w:val="20"/>
                  <w:u w:val="none"/>
                  <w:effect w:val="non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30">
              <w:r>
                <w:rPr>
                  <w:rStyle w:val="InternetLink"/>
                  <w:rFonts w:ascii="Arial;sans-serif" w:hAnsi="Arial;sans-serif"/>
                  <w:b w:val="false"/>
                  <w:strike w:val="false"/>
                  <w:dstrike w:val="false"/>
                  <w:color w:val="0000FF"/>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30">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33">
              <w:r>
                <w:rPr>
                  <w:rStyle w:val="InternetLink"/>
                  <w:rFonts w:ascii="Arial;sans-serif" w:hAnsi="Arial;sans-serif"/>
                  <w:b w:val="false"/>
                  <w:strike w:val="false"/>
                  <w:dstrike w:val="false"/>
                  <w:color w:val="0000FF"/>
                  <w:sz w:val="20"/>
                  <w:u w:val="none"/>
                  <w:effect w:val="none"/>
                </w:rPr>
                <w:t>Item 1A.</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33">
              <w:r>
                <w:rPr>
                  <w:rStyle w:val="InternetLink"/>
                  <w:rFonts w:ascii="Arial;sans-serif" w:hAnsi="Arial;sans-serif"/>
                  <w:b w:val="false"/>
                  <w:strike w:val="false"/>
                  <w:dstrike w:val="false"/>
                  <w:color w:val="0000FF"/>
                  <w:sz w:val="20"/>
                  <w:u w:val="none"/>
                  <w:effect w:val="non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33">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36">
              <w:r>
                <w:rPr>
                  <w:rStyle w:val="InternetLink"/>
                  <w:rFonts w:ascii="Arial;sans-serif" w:hAnsi="Arial;sans-serif"/>
                  <w:b w:val="false"/>
                  <w:strike w:val="false"/>
                  <w:dstrike w:val="false"/>
                  <w:color w:val="0000FF"/>
                  <w:sz w:val="20"/>
                  <w:u w:val="none"/>
                  <w:effect w:val="non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36">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36">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39">
              <w:r>
                <w:rPr>
                  <w:rStyle w:val="InternetLink"/>
                  <w:rFonts w:ascii="Arial;sans-serif" w:hAnsi="Arial;sans-serif"/>
                  <w:b w:val="false"/>
                  <w:strike w:val="false"/>
                  <w:dstrike w:val="false"/>
                  <w:color w:val="0000FF"/>
                  <w:sz w:val="20"/>
                  <w:u w:val="none"/>
                  <w:effect w:val="none"/>
                </w:rPr>
                <w:t>Item 3.</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39">
              <w:r>
                <w:rPr>
                  <w:rStyle w:val="InternetLink"/>
                  <w:rFonts w:ascii="Arial;sans-serif" w:hAnsi="Arial;sans-serif"/>
                  <w:b w:val="false"/>
                  <w:strike w:val="false"/>
                  <w:dstrike w:val="false"/>
                  <w:color w:val="0000FF"/>
                  <w:sz w:val="20"/>
                  <w:u w:val="none"/>
                  <w:effect w:val="non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39">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42">
              <w:r>
                <w:rPr>
                  <w:rStyle w:val="InternetLink"/>
                  <w:rFonts w:ascii="Arial;sans-serif" w:hAnsi="Arial;sans-serif"/>
                  <w:b w:val="false"/>
                  <w:strike w:val="false"/>
                  <w:dstrike w:val="false"/>
                  <w:color w:val="0000FF"/>
                  <w:sz w:val="20"/>
                  <w:u w:val="none"/>
                  <w:effect w:val="none"/>
                </w:rPr>
                <w:t>Item 4.</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42">
              <w:r>
                <w:rPr>
                  <w:rStyle w:val="InternetLink"/>
                  <w:rFonts w:ascii="Arial;sans-serif" w:hAnsi="Arial;sans-serif"/>
                  <w:b w:val="false"/>
                  <w:strike w:val="false"/>
                  <w:dstrike w:val="false"/>
                  <w:color w:val="0000FF"/>
                  <w:sz w:val="20"/>
                  <w:u w:val="none"/>
                  <w:effect w:val="non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42">
              <w:r>
                <w:rPr>
                  <w:rStyle w:val="InternetLink"/>
                  <w:rFonts w:ascii="Arial;sans-serif" w:hAnsi="Arial;sans-serif"/>
                  <w:b w:val="false"/>
                  <w:strike w:val="false"/>
                  <w:dstrike w:val="false"/>
                  <w:color w:val="0000FF"/>
                  <w:sz w:val="20"/>
                  <w:u w:val="none"/>
                  <w:effect w:val="none"/>
                </w:rPr>
                <w:t>39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45">
              <w:r>
                <w:rPr>
                  <w:rStyle w:val="InternetLink"/>
                  <w:rFonts w:ascii="Arial;sans-serif" w:hAnsi="Arial;sans-serif"/>
                  <w:b w:val="false"/>
                  <w:strike w:val="false"/>
                  <w:dstrike w:val="false"/>
                  <w:color w:val="0000FF"/>
                  <w:sz w:val="20"/>
                  <w:u w:val="none"/>
                  <w:effect w:val="none"/>
                </w:rPr>
                <w:t>Item 5.</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45">
              <w:r>
                <w:rPr>
                  <w:rStyle w:val="InternetLink"/>
                  <w:rFonts w:ascii="Arial;sans-serif" w:hAnsi="Arial;sans-serif"/>
                  <w:b w:val="false"/>
                  <w:strike w:val="false"/>
                  <w:dstrike w:val="false"/>
                  <w:color w:val="0000FF"/>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45">
              <w:r>
                <w:rPr>
                  <w:rStyle w:val="InternetLink"/>
                  <w:rFonts w:ascii="Arial;sans-serif" w:hAnsi="Arial;sans-serif"/>
                  <w:b w:val="false"/>
                  <w:strike w:val="false"/>
                  <w:dstrike w:val="false"/>
                  <w:color w:val="0000FF"/>
                  <w:sz w:val="20"/>
                  <w:u w:val="none"/>
                  <w:effect w:val="none"/>
                </w:rPr>
                <w:t>40</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a032e074c3e4dc49ffad10ff6bf1ae3_148">
              <w:r>
                <w:rPr>
                  <w:rStyle w:val="InternetLink"/>
                  <w:rFonts w:ascii="Arial;sans-serif" w:hAnsi="Arial;sans-serif"/>
                  <w:b w:val="false"/>
                  <w:strike w:val="false"/>
                  <w:dstrike w:val="false"/>
                  <w:color w:val="0000FF"/>
                  <w:sz w:val="20"/>
                  <w:u w:val="none"/>
                  <w:effect w:val="none"/>
                </w:rPr>
                <w:t>Item 6.</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48">
              <w:r>
                <w:rPr>
                  <w:rStyle w:val="InternetLink"/>
                  <w:rFonts w:ascii="Arial;sans-serif" w:hAnsi="Arial;sans-serif"/>
                  <w:b w:val="false"/>
                  <w:strike w:val="false"/>
                  <w:dstrike w:val="false"/>
                  <w:color w:val="0000FF"/>
                  <w:sz w:val="20"/>
                  <w:u w:val="none"/>
                  <w:effect w:val="non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48">
              <w:r>
                <w:rPr>
                  <w:rStyle w:val="InternetLink"/>
                  <w:rFonts w:ascii="Arial;sans-serif" w:hAnsi="Arial;sans-serif"/>
                  <w:b w:val="false"/>
                  <w:strike w:val="false"/>
                  <w:dstrike w:val="false"/>
                  <w:color w:val="0000FF"/>
                  <w:sz w:val="20"/>
                  <w:u w:val="none"/>
                  <w:effect w:val="none"/>
                </w:rPr>
                <w:t>40</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a032e074c3e4dc49ffad10ff6bf1ae3_151">
              <w:r>
                <w:rPr>
                  <w:rStyle w:val="InternetLink"/>
                  <w:rFonts w:ascii="Arial;sans-serif" w:hAnsi="Arial;sans-serif"/>
                  <w:b w:val="false"/>
                  <w:strike w:val="false"/>
                  <w:dstrike w:val="false"/>
                  <w:color w:val="0000FF"/>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032e074c3e4dc49ffad10ff6bf1ae3_151">
              <w:r>
                <w:rPr>
                  <w:rStyle w:val="InternetLink"/>
                  <w:rFonts w:ascii="Arial;sans-serif" w:hAnsi="Arial;sans-serif"/>
                  <w:b w:val="false"/>
                  <w:strike w:val="false"/>
                  <w:dstrike w:val="false"/>
                  <w:color w:val="0000FF"/>
                  <w:sz w:val="20"/>
                  <w:u w:val="none"/>
                  <w:effect w:val="none"/>
                </w:rPr>
                <w:t>42</w:t>
              </w:r>
            </w:hyperlink>
          </w:p>
        </w:tc>
      </w:tr>
    </w:tbl>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(this “Quarterly Report”) contains forward-looking statements within the meaning of the Private Securities Litigation Reform Act of 1995 and other federal securities laws. All statements other than statements of historical facts contained in this Quarterly Report, including statements regarding our future operating results and financial position, our business strategy and plans, our market growth, and our objectives for future operations, are forward-looking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words “believe,” “may,” “will,” “estimate,” “continue,” “anticipate,” “design,” “intend,” “expect,” “forecast,” “could,” “plan,” “potential,” “predict,” “seek,” “target,”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Forward-looking statements contained in this Quarterly Report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level of demand for any of our products, which may vary significantly;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increase the adoption of our products in the prenatal and oncology markets and in large healthcare systems;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generate persuasive clinical validity and utility evidence;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expand our portfolio of molecular diagnostic tests;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use AI effectively and efficiently;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execute our reimbursement strategy and expand coverage of our tests;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replicate positive results from trials or studies conducted by us or third parties in current or future trials or studies;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potential for our UNITY Fetal Antigen CTA to become the first non-invasive prenatal test (NIPT) to have a companion diagnostics indication pending;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successful completion of Johnson &amp; Johnson’s AZALEA Phase 3 clinical trial;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implementation of our business model and strategic plans;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realize the benefits of current and future collaborations for the development of our products;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maintain, expand and protect our intellectual property;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developments relating to our competitors and our industry, including with respect to the possibility of competitors initiating legal proceedings against us;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existing regulations and regulatory developments in the United States and other jurisdictions;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general economic, industry, and market conditions, including tariffs or other trade actions, inflation and war;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attract, hire, and retain our key personnel and additional qualified personnel;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anticipated use of our existing cash and cash equivalents;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estimates regarding expenses, future revenue, capital requirements and needs for additional financing;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remediate the material weaknesses in our internal control over financial reporting or additional material weaknesses or other deficiencies in the future or to maintain effective disclosure controls and procedures and internal control over financial reporting;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other risks and uncertainties, including those listed in the section titled “Risk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caution you that the foregoing list may not contain all of the forward-looking statements made in this Quarterly Report.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 circumstances discussed in this Quarterly Report may not occur and actual results could differ materially and adversely from those anticipated or implied in the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Although we believe that the expectations reflected in the forward-looking statements are reasonable, we cannot guarantee future results, performance or achievements. The forward-looking statements made in this Quarterly Report are given only as of the date on which the statements are made. We undertake no obligation to update any of these forward-looking statements for any reason after the date of this Quarterly Report or to conform these statements to actual results or to changes in our expectations, except as required by law.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and the documents that we reference in this Quarterly Report and have filed as exhibits with the understanding that our actual future results, levels of activity, performance and achievements may be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000000"/>
          <w:sz w:val="32"/>
        </w:rPr>
      </w:pPr>
      <w:r>
        <w:rPr>
          <w:rFonts w:ascii="Arial;sans-serif" w:hAnsi="Arial;sans-serif"/>
          <w:b/>
          <w:color w:val="000000"/>
          <w:sz w:val="3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32"/>
        </w:rPr>
      </w:pPr>
      <w:r>
        <w:rPr>
          <w:rFonts w:ascii="Arial;sans-serif" w:hAnsi="Arial;sans-serif"/>
          <w:b/>
          <w:color w:val="000000"/>
          <w:sz w:val="32"/>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Balance Sheets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(in thousands, except share amounts, unaudited)</w:t>
      </w:r>
    </w:p>
    <w:tbl>
      <w:tblPr>
        <w:tblW w:w="10205" w:type="dxa"/>
        <w:jc w:val="left"/>
        <w:tblInd w:w="0" w:type="dxa"/>
        <w:tblLayout w:type="fixed"/>
        <w:tblCellMar>
          <w:top w:w="28" w:type="dxa"/>
          <w:left w:w="28" w:type="dxa"/>
          <w:bottom w:w="28" w:type="dxa"/>
          <w:right w:w="28" w:type="dxa"/>
        </w:tblCellMar>
      </w:tblPr>
      <w:tblGrid>
        <w:gridCol w:w="3010"/>
        <w:gridCol w:w="2339"/>
        <w:gridCol w:w="2139"/>
        <w:gridCol w:w="210"/>
        <w:gridCol w:w="790"/>
        <w:gridCol w:w="117"/>
        <w:gridCol w:w="109"/>
        <w:gridCol w:w="109"/>
        <w:gridCol w:w="109"/>
        <w:gridCol w:w="229"/>
        <w:gridCol w:w="862"/>
        <w:gridCol w:w="182"/>
      </w:tblGrid>
      <w:tr>
        <w:trPr/>
        <w:tc>
          <w:tcPr>
            <w:tcW w:w="301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495,975 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624,138 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560,558 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49,396 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700,727 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commissions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compensation and employee benefits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stock warrant liability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Financing lease liabilities, 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57,162 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47,962 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Financing lease liabilities, non-current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195,107 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152,549 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A common stock, $0.00001 par value, 800,000,000 shares authorized as of March 31, 2026 and December 31, 2025; 41,428,242 and 41,252,105 shares issued and outstanding as of March 31, 2026 and December 31, 2025, respectively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B common stock, $0.00001 par value; 10,000,000 shares authorized as of March 31, 2026 and December 31, 2025; 4,552,650 shares issued and outstanding as of March 31, 2026 and December 31, 2025</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756,644 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(256,777)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(274,747)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505,620 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480,105 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700,727 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Operations and Comprehensive Income (Loss) </w:t>
      </w:r>
    </w:p>
    <w:p>
      <w:pPr>
        <w:pStyle w:val="TextBody"/>
        <w:bidi w:val="0"/>
        <w:spacing w:lineRule="auto" w:line="288" w:before="0" w:after="240"/>
        <w:jc w:val="center"/>
        <w:rPr/>
      </w:pPr>
      <w:r>
        <w:rPr>
          <w:rFonts w:ascii="Arial;sans-serif" w:hAnsi="Arial;sans-serif"/>
          <w:b/>
          <w:color w:val="000000"/>
          <w:sz w:val="20"/>
        </w:rPr>
        <w:t>(in thousands,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664"/>
        <w:gridCol w:w="2241"/>
        <w:gridCol w:w="2244"/>
        <w:gridCol w:w="211"/>
        <w:gridCol w:w="856"/>
        <w:gridCol w:w="109"/>
        <w:gridCol w:w="109"/>
        <w:gridCol w:w="109"/>
        <w:gridCol w:w="109"/>
        <w:gridCol w:w="211"/>
        <w:gridCol w:w="751"/>
        <w:gridCol w:w="109"/>
        <w:gridCol w:w="109"/>
        <w:gridCol w:w="109"/>
        <w:gridCol w:w="109"/>
        <w:gridCol w:w="155"/>
      </w:tblGrid>
      <w:tr>
        <w:trPr/>
        <w:tc>
          <w:tcPr>
            <w:tcW w:w="266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Total other (expense) income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and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basic and diluted:</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 and diluted:</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45,932,719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10,312,892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diluted</w:t>
            </w:r>
          </w:p>
        </w:tc>
        <w:tc>
          <w:tcPr>
            <w:tcW w:w="11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53,028,360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10,312,892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Statements of Redeemable Convertible Preferred Stock and Stockholders’ Equity (Deficit)</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except share data, unaudited)</w:t>
      </w:r>
    </w:p>
    <w:tbl>
      <w:tblPr>
        <w:tblW w:w="10205" w:type="dxa"/>
        <w:jc w:val="left"/>
        <w:tblInd w:w="0" w:type="dxa"/>
        <w:tblLayout w:type="fixed"/>
        <w:tblCellMar>
          <w:top w:w="28" w:type="dxa"/>
          <w:left w:w="28" w:type="dxa"/>
          <w:bottom w:w="28" w:type="dxa"/>
          <w:right w:w="28" w:type="dxa"/>
        </w:tblCellMar>
      </w:tblPr>
      <w:tblGrid>
        <w:gridCol w:w="379"/>
        <w:gridCol w:w="309"/>
        <w:gridCol w:w="310"/>
        <w:gridCol w:w="185"/>
        <w:gridCol w:w="185"/>
        <w:gridCol w:w="186"/>
        <w:gridCol w:w="111"/>
        <w:gridCol w:w="111"/>
        <w:gridCol w:w="111"/>
        <w:gridCol w:w="264"/>
        <w:gridCol w:w="217"/>
        <w:gridCol w:w="111"/>
        <w:gridCol w:w="109"/>
        <w:gridCol w:w="109"/>
        <w:gridCol w:w="109"/>
        <w:gridCol w:w="109"/>
        <w:gridCol w:w="109"/>
        <w:gridCol w:w="109"/>
        <w:gridCol w:w="264"/>
        <w:gridCol w:w="264"/>
        <w:gridCol w:w="268"/>
        <w:gridCol w:w="109"/>
        <w:gridCol w:w="109"/>
        <w:gridCol w:w="109"/>
        <w:gridCol w:w="218"/>
        <w:gridCol w:w="236"/>
        <w:gridCol w:w="132"/>
        <w:gridCol w:w="109"/>
        <w:gridCol w:w="109"/>
        <w:gridCol w:w="109"/>
        <w:gridCol w:w="181"/>
        <w:gridCol w:w="646"/>
        <w:gridCol w:w="109"/>
        <w:gridCol w:w="109"/>
        <w:gridCol w:w="109"/>
        <w:gridCol w:w="109"/>
        <w:gridCol w:w="261"/>
        <w:gridCol w:w="718"/>
        <w:gridCol w:w="159"/>
        <w:gridCol w:w="109"/>
        <w:gridCol w:w="109"/>
        <w:gridCol w:w="109"/>
        <w:gridCol w:w="181"/>
        <w:gridCol w:w="648"/>
        <w:gridCol w:w="109"/>
        <w:gridCol w:w="109"/>
        <w:gridCol w:w="109"/>
        <w:gridCol w:w="109"/>
        <w:gridCol w:w="191"/>
        <w:gridCol w:w="682"/>
        <w:gridCol w:w="170"/>
      </w:tblGrid>
      <w:tr>
        <w:trPr/>
        <w:tc>
          <w:tcPr>
            <w:tcW w:w="3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651" w:type="dxa"/>
            <w:gridSpan w:val="45"/>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651" w:type="dxa"/>
            <w:gridSpan w:val="45"/>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2026</w:t>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Deficit</w:t>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45,804,755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Class A common stock upon exercise of stock options</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income</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17,970 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2026</w:t>
            </w:r>
          </w:p>
        </w:tc>
        <w:tc>
          <w:tcPr>
            <w:tcW w:w="5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45,980,892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(256,777)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505,620 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55" w:type="dxa"/>
        <w:jc w:val="left"/>
        <w:tblInd w:w="0" w:type="dxa"/>
        <w:tblLayout w:type="fixed"/>
        <w:tblCellMar>
          <w:top w:w="28" w:type="dxa"/>
          <w:left w:w="28" w:type="dxa"/>
          <w:bottom w:w="28" w:type="dxa"/>
          <w:right w:w="28" w:type="dxa"/>
        </w:tblCellMar>
      </w:tblPr>
      <w:tblGrid>
        <w:gridCol w:w="307"/>
        <w:gridCol w:w="244"/>
        <w:gridCol w:w="245"/>
        <w:gridCol w:w="264"/>
        <w:gridCol w:w="264"/>
        <w:gridCol w:w="268"/>
        <w:gridCol w:w="109"/>
        <w:gridCol w:w="109"/>
        <w:gridCol w:w="109"/>
        <w:gridCol w:w="181"/>
        <w:gridCol w:w="646"/>
        <w:gridCol w:w="109"/>
        <w:gridCol w:w="109"/>
        <w:gridCol w:w="109"/>
        <w:gridCol w:w="109"/>
        <w:gridCol w:w="109"/>
        <w:gridCol w:w="109"/>
        <w:gridCol w:w="109"/>
        <w:gridCol w:w="264"/>
        <w:gridCol w:w="264"/>
        <w:gridCol w:w="268"/>
        <w:gridCol w:w="109"/>
        <w:gridCol w:w="109"/>
        <w:gridCol w:w="109"/>
        <w:gridCol w:w="218"/>
        <w:gridCol w:w="236"/>
        <w:gridCol w:w="132"/>
        <w:gridCol w:w="109"/>
        <w:gridCol w:w="109"/>
        <w:gridCol w:w="109"/>
        <w:gridCol w:w="181"/>
        <w:gridCol w:w="571"/>
        <w:gridCol w:w="109"/>
        <w:gridCol w:w="109"/>
        <w:gridCol w:w="109"/>
        <w:gridCol w:w="109"/>
        <w:gridCol w:w="408"/>
        <w:gridCol w:w="442"/>
        <w:gridCol w:w="246"/>
        <w:gridCol w:w="109"/>
        <w:gridCol w:w="109"/>
        <w:gridCol w:w="109"/>
        <w:gridCol w:w="181"/>
        <w:gridCol w:w="646"/>
        <w:gridCol w:w="109"/>
        <w:gridCol w:w="109"/>
        <w:gridCol w:w="109"/>
        <w:gridCol w:w="109"/>
        <w:gridCol w:w="191"/>
        <w:gridCol w:w="682"/>
        <w:gridCol w:w="163"/>
      </w:tblGrid>
      <w:tr>
        <w:trPr/>
        <w:tc>
          <w:tcPr>
            <w:tcW w:w="3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9"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2025</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Deficit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(251,656)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loss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2025</w:t>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11,056,337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(252,905)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Cash Flows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768"/>
        <w:gridCol w:w="2420"/>
        <w:gridCol w:w="2429"/>
        <w:gridCol w:w="220"/>
        <w:gridCol w:w="788"/>
        <w:gridCol w:w="113"/>
        <w:gridCol w:w="113"/>
        <w:gridCol w:w="113"/>
        <w:gridCol w:w="113"/>
        <w:gridCol w:w="220"/>
        <w:gridCol w:w="740"/>
        <w:gridCol w:w="168"/>
      </w:tblGrid>
      <w:tr>
        <w:trPr/>
        <w:tc>
          <w:tcPr>
            <w:tcW w:w="276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Net income (loss)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Amortization of operating right-of-use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Loss on disposal of fixed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common stock warrant liability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i/>
                <w:color w:val="000000"/>
                <w:sz w:val="20"/>
              </w:rPr>
            </w:pPr>
            <w:r>
              <w:rPr>
                <w:rFonts w:ascii="Arial;sans-serif" w:hAnsi="Arial;sans-serif"/>
                <w:b w:val="false"/>
                <w:i/>
                <w:color w:val="000000"/>
                <w:sz w:val="20"/>
              </w:rPr>
              <w:t>Changes in operating assets and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Inventories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commissions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compensation and employee benefits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Deferred revenue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investing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(4,471)</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(2,347)</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68"/>
        <w:gridCol w:w="2450"/>
        <w:gridCol w:w="2161"/>
        <w:gridCol w:w="211"/>
        <w:gridCol w:w="856"/>
        <w:gridCol w:w="109"/>
        <w:gridCol w:w="109"/>
        <w:gridCol w:w="109"/>
        <w:gridCol w:w="109"/>
        <w:gridCol w:w="211"/>
        <w:gridCol w:w="856"/>
        <w:gridCol w:w="156"/>
      </w:tblGrid>
      <w:tr>
        <w:trPr/>
        <w:tc>
          <w:tcPr>
            <w:tcW w:w="286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7"/>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7"/>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7"/>
              <w:jc w:val="center"/>
              <w:rPr>
                <w:rFonts w:ascii="Arial;sans-serif" w:hAnsi="Arial;sans-serif"/>
                <w:b/>
                <w:color w:val="000000"/>
                <w:sz w:val="16"/>
              </w:rPr>
            </w:pPr>
            <w:r>
              <w:rPr>
                <w:rFonts w:ascii="Arial;sans-serif" w:hAnsi="Arial;sans-serif"/>
                <w:b/>
                <w:color w:val="000000"/>
                <w:sz w:val="16"/>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Principal payments on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20"/>
              </w:rPr>
            </w:pPr>
            <w:r>
              <w:rPr>
                <w:rFonts w:ascii="Arial;sans-serif" w:hAnsi="Arial;sans-serif"/>
                <w:b/>
                <w:color w:val="000000"/>
                <w:sz w:val="20"/>
              </w:rPr>
              <w:t>Supplemental cash flow disclosure: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20"/>
              </w:rPr>
            </w:pPr>
            <w:r>
              <w:rPr>
                <w:rFonts w:ascii="Arial;sans-serif" w:hAnsi="Arial;sans-serif"/>
                <w:b/>
                <w:color w:val="000000"/>
                <w:sz w:val="20"/>
              </w:rPr>
              <w:t>Supplemental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and equipment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Deferred offering costs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cash flows from financing leases (interest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 of stock options for which cash had not been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BillionToOne, Inc. (the “Company”, “we”, or “our”) was formed in 2016 and is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the proprietary technology to non-invasive prenatal screening (“Prenatal”) and liquid biopsy (“Oncology”).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accompanying financial statements have been prepared in conformity with accounting principles generally accepted in the United States of America (“U.S. GAAP”). All intercompany transactions and balances have been eliminated upon consolidation.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unaudited interim financial statements should be read in conjunction with the audited financial statements and related notes for the year ended December 31, 2025 included in the Company’s Annual Report on Form 10-K filed with the SEC on March 11,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a summary of the Company’s significant accounting policies refer to “Note 2. Summary of Significant Accounting Policies” in the notes to the financial statements as of and for the year ended December 31, 2025 included in the Company’s Annual Report on Form 10-K. There have been no significant changes to these policies during the three months ended March 31, 2026.</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Unaudited interim financial information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unaudited financial statements do not include all disclosures, including certain notes required by GAAP on an annual reporting basis. The unaudited interim financial statements have been prepared on the same basis as the annual financial statements. In management’s opinion, the unaudited financial statements reflect all normal recurring adjustments necessary to state fairly the balance sheets, statements of operations and comprehensive income (loss),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stock-based compensation, deferred tax assets and liabilities, useful lives of long-lived assets, the incremental borrowing rate applied to operating and finance leases, determination of revenue recognition and accounts receivable, and valuation of debt and common stock warrants. These estimates are inherently subject to judgment and actual results could differ from those estimates.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Certain of the Company’s product candidates are in development. If the Company is unable to advance its product candidates through development, clinical validation and ultimately commercialize its product candidates, or experiences significant delays in doing so, the Company’s business will be materially harmed. Even if the Company completes the necessary validation studies and product development, the process to meet any applicable regulatory requirements can be expensive. As a result, the Company cannot predict when, or if, it will be able to commercialize a product candidate.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events occur and additional information is obtained and are recognized in the financial statements as soon as they become known. Actual results could differ from those estimates, and any such differences may be material to the Company’s financial statements.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recognizes revenue upon transfer of control of promised goods and services in an amount that reflects the consideration it expects to be entitled to receive in exchange for those goods and services. Under ASC 606—Revenue from Contracts with Customers ("ASC 606"), the Company applies the following five-step approach:</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Identify the contract with a customer</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Identify the performance obligations in the contract</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Determine the transaction price</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Allocate the transaction price to the performance obligations in the contract</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Recognize revenue when, or as, a performance obligation is satisfied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 Company generally bills an insurance carrier, Medicaid, Medicare, the patient, or a combination upon delivery of test results.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enters into contracts with third-party payors, including insurance carriers, Medicaid and Medicare,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third-party payors.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updates those estimates when actual experience supports doing so. In establishing variable consideration, the Company considers payors with similar reimbursement 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January 2023, the Company entered a partnership with Johnson &amp; Johnson ("J&amp;J") under which the Company is licensing the Company’s proprietary knowledge, performing clinical trial support services including developing a clinical study assay, and other testing services to support a clinical trial for the counterparty. In March 2026, the Company amended and restated the agreement governing the partnership with J&amp;J to amend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pricing and extend the term of the agreement, the extension is expected to have a duration of approximately three years. The Company concluded that the agreement and the amended agreement with J&amp;J were within the scope of ASC 606 because the counterparty in the agreement meets the definition of a customer. The Company evaluated the terms of the agreement for revenue recognition, including whether the services are capable of being distinct and considered distinct within the context of the contract. The Company concluded that the licensing of the know how is not distinct from the other promises within the agreement and, as a result, was treated as a single performance obligation. Under this contract, the Company receives payments upon the achievement of milestones, including (i) receipt of approval of the trial, which was achieved in 2023, (ii) various patient enrollment milestones, and (iii) subsequent full trial completion, as well as reimbursement for testing services. In making an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July 2025, the Company entered into a partnership with J&amp;J for the development and commercialization of a companion diagnostic (CDx), intended for use with a new drug candidate of J&amp;J. The Company is providing services related to regulatory filings to support companion diagnostic submissions for the Company’s assay. The development and regulatory support services represent a single performance obligation as the Company performs a significant integration service, such as analytical validation and regulatory submissions. The individual promises are not separately identifiable from other promises in the contract, and therefore, not distinct. The Company receives payment from achievement of milestones, including (i) various CDx development milestones, (ii) FDA regulatory submission and pre-approval, and (iii) CDx approval by FDA. For the companion diagnostic development and regulatory approval performed, the Company is compensated through a combination of an upfront fee and performance-based, non-refundable regulatory and development milestones. The transaction price represents variable consideration and the Company uses the most likely amount to estimate variable consideration. Application of the constraint for variable consideration to milestone payments is an area that requires significant judgment. The Company evaluates factors such as the scientific, clinical, regulatory, and other risks that must be managed to achieve the respective milestone and the level of effort and investment required to achieve the respective milestone. In making this assessment, the Company considers its historical experience with similar milestones, the degree of complexity and uncertainty associated with each milestone, and whether the achievement of the milestone is dependent on parties other than the Company. The constraint for variable consideration is applied to the contract price such that it is probable a significant cumulative reversal of revenue will not occur when the uncertainty associated with the contingency is resolved. Application of the constraint for variable consideration is assessed and updated at each reporting period as a revision to the estimated transaction price.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recognizes revenue for the single performance obligation for each of the J&amp;J partnership agreements over the period the services are provided. Specifically, the Company recognizes revenue using an input method to measure progress, utilizing costs incurred to-date relative to the total expected costs as a measure of progress. The Company assesses the changes to the total expected cost estimates in determining the revenue recognition for each reporting period.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applies the practical expedient not to disclose the value of unsatisfied performance obligations for contracts with an original expected length of one year or less. As of March 31, 2026, the Company’s remaining performance obligations beyond one year were approximately $7.6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 presents disaggregation of revenue by Prenatal, Oncology and Clinical trial support and other services for the three months ended March 31, 2026 and 2025 (in thousands):</w:t>
      </w:r>
    </w:p>
    <w:tbl>
      <w:tblPr>
        <w:tblW w:w="6550" w:type="dxa"/>
        <w:jc w:val="left"/>
        <w:tblInd w:w="0" w:type="dxa"/>
        <w:tblLayout w:type="fixed"/>
        <w:tblCellMar>
          <w:top w:w="28" w:type="dxa"/>
          <w:left w:w="28" w:type="dxa"/>
          <w:bottom w:w="28" w:type="dxa"/>
          <w:right w:w="28" w:type="dxa"/>
        </w:tblCellMar>
      </w:tblPr>
      <w:tblGrid>
        <w:gridCol w:w="1266"/>
        <w:gridCol w:w="1111"/>
        <w:gridCol w:w="1118"/>
        <w:gridCol w:w="211"/>
        <w:gridCol w:w="856"/>
        <w:gridCol w:w="109"/>
        <w:gridCol w:w="109"/>
        <w:gridCol w:w="109"/>
        <w:gridCol w:w="109"/>
        <w:gridCol w:w="211"/>
        <w:gridCol w:w="751"/>
        <w:gridCol w:w="109"/>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Prenatal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Oncology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Clinical trial support and other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Substantially all revenues recognized for the three months ended March 31, 2026 and 2025 were generated in the United States.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Revenue related to performance obligations satisfied in prior periods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the three months ended March 31, 2026 and 2025, the Company recorded $9.2 million and $2.9 million, respectively, as revenue related to performance obligations satisfied in prior periods.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2026, the Company entered into new agreements with payors that resulted in an increase of revenue related to expected payments on the reprocessing of claims from the three months ended March 31, 2026 and the year ended December 31, 2025. Revenue related to services performed during the year ended December 31, 2025 that were covered by these payors contributed slightly more than half of the $9.2 million in revenue related to performance obligations satisfied in prior periods for the three months ended March 31, 2026.</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Deferred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Deferred revenue, which is a contract liability, consists of billings or cash received for services in advance of revenue recognition and is recognized as revenue when all the Company’s revenue recognition criteria are met. As of March 31, 2026 and December 31, 2025, the deferred revenue balance was $2.8 million and $3.5 million, respectively. All deferred revenue as of March 31, 2026 was classified as current. As of December 31, 2025, $1.3 million of the deferred revenue balance was classified as non-current and $2.2 million was classified as current. For the three months ended March 31, 2026 and 2025, revenue recognized from deferred revenue at the beginning of the period was $1.0 million and $0.7 million, respectively.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Comprehensive Income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2026 and 2025, the Company did not have any other comprehensive income (loss) and, therefore, the net income (loss) and comprehensive income (loss) was the same.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Key areas of focus for the CODM when making decisions on the allocations of resources is cash used in operations as well as revenue, gross margin and net income (loss) and comprehensive income (loss); this information is used by the CODM and compared to budgeted amounts in order for the CODM to make decisions on how resources should be allocated across the organization. The Company’s segment measure of profitability is net income (loss)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Segment revenues are predominantly derived from prenatal and oncology testing results, leveraging the Company’s diagnostic technology platform, which are delivered to patients, who are the Company’s customer. The Company’s customers are predominantly located in the United States. Substantially all of the Company’s long-lived assets are located in the United States. The Company’s technology platform is applied similarly in both the prenatal and oncology settings.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financial statements provide the CODM with a view of the Company’s financial condition as it pertains to the Company’s assets, liabilities and expenses. Significant expense categories align with the expense categories and amounts presented on the statements of operations.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160" w:after="160"/>
        <w:jc w:val="left"/>
        <w:rPr/>
      </w:pPr>
      <w:r>
        <w:rPr>
          <w:rFonts w:ascii="Arial;sans-serif" w:hAnsi="Arial;sans-serif"/>
          <w:b w:val="false"/>
          <w:color w:val="000000"/>
          <w:sz w:val="20"/>
        </w:rPr>
        <w:t>In July 2025, the FASB issued ASU 2025-05, </w:t>
      </w:r>
      <w:r>
        <w:rPr>
          <w:rFonts w:ascii="Arial;sans-serif" w:hAnsi="Arial;sans-serif"/>
          <w:b w:val="false"/>
          <w:i/>
          <w:color w:val="000000"/>
          <w:sz w:val="20"/>
        </w:rPr>
        <w:t>Measurement of Credit Losses for Accounts Receivable and Contract Assets</w:t>
      </w:r>
      <w:r>
        <w:rPr>
          <w:rFonts w:ascii="Arial;sans-serif" w:hAnsi="Arial;sans-serif"/>
          <w:b w:val="false"/>
          <w:color w:val="000000"/>
          <w:sz w:val="20"/>
        </w:rPr>
        <w:t>, which provides for a practical expedient to estimate credit losses related to accounts receivable and contract assets from revenue contracts accounted for in accordance with ASC 606 using information as of the balance sheet date. The Company adopted this ASU effective for the Company’s fiscal year beginning January 1, 2026 and it did not have a material impact on the Company’s its financial statements and related disclosures.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Recently Issued Accounting Pronouncements not yet Adopted</w:t>
      </w:r>
    </w:p>
    <w:p>
      <w:pPr>
        <w:pStyle w:val="TextBody"/>
        <w:bidi w:val="0"/>
        <w:spacing w:lineRule="auto" w:line="288" w:before="160" w:after="160"/>
        <w:jc w:val="left"/>
        <w:rPr/>
      </w:pPr>
      <w:r>
        <w:rPr>
          <w:rFonts w:ascii="Arial;sans-serif" w:hAnsi="Arial;sans-serif"/>
          <w:b w:val="false"/>
          <w:color w:val="000000"/>
          <w:sz w:val="20"/>
        </w:rPr>
        <w:t xml:space="preserve">In November 2024 and January 2025, the FASB issued ASU 2024-03 and ASU 2025-01, respectively, </w:t>
      </w:r>
      <w:r>
        <w:rPr>
          <w:rFonts w:ascii="Arial;sans-serif" w:hAnsi="Arial;sans-serif"/>
          <w:b w:val="false"/>
          <w:i/>
          <w:color w:val="000000"/>
          <w:sz w:val="20"/>
        </w:rPr>
        <w:t>Income Statement—Reporting Comprehensive Income—Expense Disaggregation Disclosures (Subtopic 220-40): Disaggregation of Income Statement Expenses</w:t>
      </w:r>
      <w:r>
        <w:rPr>
          <w:rFonts w:ascii="Arial;sans-serif" w:hAnsi="Arial;sans-serif"/>
          <w:b w:val="false"/>
          <w:color w:val="000000"/>
          <w:sz w:val="20"/>
        </w:rPr>
        <w:t>, which requires disclosure in the notes to the financial statements of specified information about an entity’s certain costs and expenses. The amendments to the standards are effective for the Company’s fiscal year beginning January 1, 2027 and interim periods 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pStyle w:val="TextBody"/>
        <w:bidi w:val="0"/>
        <w:spacing w:lineRule="auto" w:line="288" w:before="160" w:after="16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clarifies and expands the existing guidance on capitalizing 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this ASU to determine the impact it may have on its financial statements and related disclosures.</w:t>
      </w:r>
    </w:p>
    <w:p>
      <w:pPr>
        <w:pStyle w:val="TextBody"/>
        <w:bidi w:val="0"/>
        <w:spacing w:lineRule="auto" w:line="288" w:before="160" w:after="160"/>
        <w:jc w:val="left"/>
        <w:rPr/>
      </w:pPr>
      <w:r>
        <w:rPr>
          <w:rFonts w:ascii="Arial;sans-serif" w:hAnsi="Arial;sans-serif"/>
          <w:b w:val="false"/>
          <w:color w:val="000000"/>
          <w:sz w:val="20"/>
        </w:rPr>
        <w:t xml:space="preserve">In September 2025, the FASB issued ASU 2025-07, </w:t>
      </w:r>
      <w:r>
        <w:rPr>
          <w:rFonts w:ascii="Arial;sans-serif" w:hAnsi="Arial;sans-serif"/>
          <w:b w:val="false"/>
          <w:i/>
          <w:color w:val="000000"/>
          <w:sz w:val="20"/>
        </w:rPr>
        <w:t>Derivatives Scope Refinements and Scope Clarification for Share-Based Noncash Consideration from a Customer in a Revenue Contract</w:t>
      </w:r>
      <w:r>
        <w:rPr>
          <w:rFonts w:ascii="Arial;sans-serif" w:hAnsi="Arial;sans-serif"/>
          <w:b w:val="false"/>
          <w:color w:val="000000"/>
          <w:sz w:val="20"/>
        </w:rPr>
        <w:t>, which amends the guidance under ASC Topic 815 (Derivatives and Hedging) and ASC Topic 606 (Revenue from Contracts with Customers). The ASU (i) refines the scope for derivative accounting to exclude certain non-exchange-traded contracts whose underlyings are based on the operations or activities specific to one of the parties to the contract, and (ii) provides clarification on how to account for share-based noncash consideration from customers (such as equity instruments, warrants, or shares) received in exchange for the transfer of goods or services under a revenue contract. The new guidance is effective for public business entities for fiscal years beginning after December 15, 2026, and interim periods within those fiscal years. Early adoption is permitted. The Company is currently evaluating this ASU to determine the impact it may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 measurements of assets and liabilities that are measured at fair value on a recurring basis consisted of the following as of March 31, 2026 (in thousands):</w:t>
      </w:r>
    </w:p>
    <w:tbl>
      <w:tblPr>
        <w:tblW w:w="7649" w:type="dxa"/>
        <w:jc w:val="left"/>
        <w:tblInd w:w="0" w:type="dxa"/>
        <w:tblLayout w:type="fixed"/>
        <w:tblCellMar>
          <w:top w:w="28" w:type="dxa"/>
          <w:left w:w="28" w:type="dxa"/>
          <w:bottom w:w="28" w:type="dxa"/>
          <w:right w:w="28" w:type="dxa"/>
        </w:tblCellMar>
      </w:tblPr>
      <w:tblGrid>
        <w:gridCol w:w="809"/>
        <w:gridCol w:w="711"/>
        <w:gridCol w:w="714"/>
        <w:gridCol w:w="211"/>
        <w:gridCol w:w="856"/>
        <w:gridCol w:w="109"/>
        <w:gridCol w:w="109"/>
        <w:gridCol w:w="109"/>
        <w:gridCol w:w="109"/>
        <w:gridCol w:w="211"/>
        <w:gridCol w:w="646"/>
        <w:gridCol w:w="109"/>
        <w:gridCol w:w="109"/>
        <w:gridCol w:w="109"/>
        <w:gridCol w:w="109"/>
        <w:gridCol w:w="211"/>
        <w:gridCol w:w="751"/>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March 31, 2026</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measurements of assets and liabilities that are measured at fair value on a recurring basis consisted of the following as of December 31, 2025 (in thousands):</w:t>
      </w:r>
    </w:p>
    <w:tbl>
      <w:tblPr>
        <w:tblW w:w="7649" w:type="dxa"/>
        <w:jc w:val="left"/>
        <w:tblInd w:w="0" w:type="dxa"/>
        <w:tblLayout w:type="fixed"/>
        <w:tblCellMar>
          <w:top w:w="28" w:type="dxa"/>
          <w:left w:w="28" w:type="dxa"/>
          <w:bottom w:w="28" w:type="dxa"/>
          <w:right w:w="28" w:type="dxa"/>
        </w:tblCellMar>
      </w:tblPr>
      <w:tblGrid>
        <w:gridCol w:w="809"/>
        <w:gridCol w:w="711"/>
        <w:gridCol w:w="714"/>
        <w:gridCol w:w="211"/>
        <w:gridCol w:w="856"/>
        <w:gridCol w:w="109"/>
        <w:gridCol w:w="109"/>
        <w:gridCol w:w="109"/>
        <w:gridCol w:w="109"/>
        <w:gridCol w:w="211"/>
        <w:gridCol w:w="646"/>
        <w:gridCol w:w="109"/>
        <w:gridCol w:w="109"/>
        <w:gridCol w:w="109"/>
        <w:gridCol w:w="109"/>
        <w:gridCol w:w="211"/>
        <w:gridCol w:w="751"/>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Level 3 instruments consist of the Company’s term loan due to the lack of relevant observable market data for the respective fair value inputs of the instrument.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August 2024, the Company entered into a term loan agreement which the Company elected to account for using the fair value option. As such, the fair value of the debt is calculated by using the probability weighting of the present value of settlement scenarios (See Note 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significant assumptions used in preparing the income approach model for valuing the term loan as of March 31, 2026 and December 31, 2025, are as follows:</w:t>
      </w:r>
    </w:p>
    <w:tbl>
      <w:tblPr>
        <w:tblW w:w="5841" w:type="dxa"/>
        <w:jc w:val="left"/>
        <w:tblInd w:w="0" w:type="dxa"/>
        <w:tblLayout w:type="fixed"/>
        <w:tblCellMar>
          <w:top w:w="28" w:type="dxa"/>
          <w:left w:w="28" w:type="dxa"/>
          <w:bottom w:w="28" w:type="dxa"/>
          <w:right w:w="28" w:type="dxa"/>
        </w:tblCellMar>
      </w:tblPr>
      <w:tblGrid>
        <w:gridCol w:w="1164"/>
        <w:gridCol w:w="1022"/>
        <w:gridCol w:w="1024"/>
        <w:gridCol w:w="270"/>
        <w:gridCol w:w="271"/>
        <w:gridCol w:w="487"/>
        <w:gridCol w:w="109"/>
        <w:gridCol w:w="109"/>
        <w:gridCol w:w="109"/>
        <w:gridCol w:w="270"/>
        <w:gridCol w:w="271"/>
        <w:gridCol w:w="735"/>
      </w:tblGrid>
      <w:tr>
        <w:trPr/>
        <w:tc>
          <w:tcPr>
            <w:tcW w:w="116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Annual interest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 – Scenario 1</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 – Scenario 2</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the common stock warrants are measured using a probability weighted option pricing model.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significant assumptions used in preparing the option pricing model for valuing the common stock warrant liability as of March 31, 2026 and December 31, 2025 are as follows: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tbl>
      <w:tblPr>
        <w:tblW w:w="5171" w:type="dxa"/>
        <w:jc w:val="left"/>
        <w:tblInd w:w="0" w:type="dxa"/>
        <w:tblLayout w:type="fixed"/>
        <w:tblCellMar>
          <w:top w:w="28" w:type="dxa"/>
          <w:left w:w="28" w:type="dxa"/>
          <w:bottom w:w="28" w:type="dxa"/>
          <w:right w:w="28" w:type="dxa"/>
        </w:tblCellMar>
      </w:tblPr>
      <w:tblGrid>
        <w:gridCol w:w="744"/>
        <w:gridCol w:w="654"/>
        <w:gridCol w:w="657"/>
        <w:gridCol w:w="290"/>
        <w:gridCol w:w="290"/>
        <w:gridCol w:w="769"/>
        <w:gridCol w:w="109"/>
        <w:gridCol w:w="109"/>
        <w:gridCol w:w="109"/>
        <w:gridCol w:w="284"/>
        <w:gridCol w:w="284"/>
        <w:gridCol w:w="872"/>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$2.80 - $10.92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00"/>
              <w:jc w:val="right"/>
              <w:rPr>
                <w:rFonts w:ascii="Arial;sans-serif" w:hAnsi="Arial;sans-serif"/>
                <w:b w:val="false"/>
                <w:color w:val="000000"/>
                <w:sz w:val="20"/>
              </w:rPr>
            </w:pPr>
            <w:r>
              <w:rPr>
                <w:rFonts w:ascii="Arial;sans-serif" w:hAnsi="Arial;sans-serif"/>
                <w:b w:val="false"/>
                <w:color w:val="000000"/>
                <w:sz w:val="20"/>
              </w:rPr>
              <w:t>$2.80 – $10.92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8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0.3</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rate</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8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8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redeemable convertible preferred stock warrant liability was reclassified to equity upon the exercise of the underlying warrants; as such, the redeemable convertible preferred stock warrant liability fair value was determined as of the date of exercise, on November 14, 2025.</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tables present a summary of the changes in the fair value of the Company’s Level 3 financial instruments (in thousands):</w:t>
      </w:r>
    </w:p>
    <w:tbl>
      <w:tblPr>
        <w:tblW w:w="3921" w:type="dxa"/>
        <w:jc w:val="left"/>
        <w:tblInd w:w="0" w:type="dxa"/>
        <w:tblLayout w:type="fixed"/>
        <w:tblCellMar>
          <w:top w:w="28" w:type="dxa"/>
          <w:left w:w="28" w:type="dxa"/>
          <w:bottom w:w="28" w:type="dxa"/>
          <w:right w:w="28" w:type="dxa"/>
        </w:tblCellMar>
      </w:tblPr>
      <w:tblGrid>
        <w:gridCol w:w="1015"/>
        <w:gridCol w:w="892"/>
        <w:gridCol w:w="898"/>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Loan</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32" w:type="dxa"/>
        <w:jc w:val="left"/>
        <w:tblInd w:w="0" w:type="dxa"/>
        <w:tblLayout w:type="fixed"/>
        <w:tblCellMar>
          <w:top w:w="28" w:type="dxa"/>
          <w:left w:w="28" w:type="dxa"/>
          <w:bottom w:w="28" w:type="dxa"/>
          <w:right w:w="28" w:type="dxa"/>
        </w:tblCellMar>
      </w:tblPr>
      <w:tblGrid>
        <w:gridCol w:w="1015"/>
        <w:gridCol w:w="892"/>
        <w:gridCol w:w="898"/>
        <w:gridCol w:w="291"/>
        <w:gridCol w:w="893"/>
        <w:gridCol w:w="152"/>
        <w:gridCol w:w="109"/>
        <w:gridCol w:w="109"/>
        <w:gridCol w:w="109"/>
        <w:gridCol w:w="347"/>
        <w:gridCol w:w="793"/>
        <w:gridCol w:w="181"/>
        <w:gridCol w:w="109"/>
        <w:gridCol w:w="109"/>
        <w:gridCol w:w="109"/>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Redeemable</w:t>
              <w:br/>
              <w:t>Convertible</w:t>
              <w:br/>
              <w:t>Preferred Stock</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Loan</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three months ended March 31, 2026 and 2025, the Company recognized losses related to the change in fair value of the term loan in change in fair value of term loan in the statements of operations and comprehensive income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2026 and 2025, the Company recognized gains (losses) related to the change in the fair value of the common stock warrant liability and for the three months ended March 31, 2025, the Company recognized a loss related to the change in convertible preferred stock warrant liability in other expense, net in the statements of operations and comprehensive income (loss).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common stock warrant liability is recorded within common stock warrant liability on the balance sheet as of March 31, 2026 and December 31, 2025. The term loan is recorded within long-term debt on the balance sheets as of March 31, 2026 and December 31,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2026 and 2025, the Company had no transfers of financial assets or liabilities between different levels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(4) Accrued Expenses and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 (in thousands):</w:t>
      </w:r>
    </w:p>
    <w:tbl>
      <w:tblPr>
        <w:tblW w:w="6587" w:type="dxa"/>
        <w:jc w:val="left"/>
        <w:tblInd w:w="0" w:type="dxa"/>
        <w:tblLayout w:type="fixed"/>
        <w:tblCellMar>
          <w:top w:w="28" w:type="dxa"/>
          <w:left w:w="28" w:type="dxa"/>
          <w:bottom w:w="28" w:type="dxa"/>
          <w:right w:w="28" w:type="dxa"/>
        </w:tblCellMar>
      </w:tblPr>
      <w:tblGrid>
        <w:gridCol w:w="1477"/>
        <w:gridCol w:w="1299"/>
        <w:gridCol w:w="1304"/>
        <w:gridCol w:w="211"/>
        <w:gridCol w:w="646"/>
        <w:gridCol w:w="109"/>
        <w:gridCol w:w="109"/>
        <w:gridCol w:w="109"/>
        <w:gridCol w:w="109"/>
        <w:gridCol w:w="253"/>
        <w:gridCol w:w="776"/>
        <w:gridCol w:w="185"/>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professional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inventory purchases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fixed asset purchases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property and other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information technology purchases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legal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phlebotomy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clinical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(5) Commitments and Contingencies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of which the outcome, if determined adversely, would individually or in the aggregate be expected to have a material and adverse effect on the business, operating results, cash flows, or financial position. Legal fees are expensed in the period in which they are incurred.</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Indemnification Agreements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As of March 31, 2026 and December 31, 2025,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(6) Long-term Debt</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Oberland Note Purchase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August 2024, the Company entered into a note purchase agreement (the “2024 Notes”) with BWCB SA LLC, an entity affiliated with Oberland Capital Management, LLC (“Oberland Capital”), which provided the Company with up to four tranches of capital advances totaling up to $140.0 million. The advanced principal accrues interest at a rate of 8.0% per annum. The first tranche of $50.0 million was advanced on August 5, 2024, with a Maturity Date on the seventh anniversary of the first purchase date (August 5, 2031). The first tranche requires interest-only payments through August 5, 2031 and a lump sum payment due on August 5,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second tranche of up to $35.0 million in principal was available at the Company’s option at any time prior to September 30, 2025 provided that the trailing six-month worldwide net revenue of the Company is at least $80.0 million. The Company did not elect the option to draw on the second tranche.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was required to sell the third tranche of notes in the amount of $30.0 million prior to March 31, 2026 as the Company achieved the revenue and gross margin thresholds triggering this obligation during the first half of fiscal 2025. The third tranche of $30.0 million was advanced on March 31, 2026, with a Maturity Date on the seventh anniversary of the initial purchase date (August 5, 2031). The third tranche requires interest-only payments through August 5, 2031 and a lump sum payment due on August 5, 2031. The thresholds triggering this tranche were trailing six-month revenue of at least $112.5 million and a trailing six-month gross margin of at least 45%. Gross Margin is defined as (I) net revenue minus cost of goods sold divided by (II) net revenue, expressed as a percentage. The terms of the third tranche are identical to those of the first $50.0 million tranche. Lastly, the fourth tranche of up to $25.0 million in principal was made available to the Company at the mutual agreement of the parties at any time prior to March 31, 2026. The Company did not elect the option to draw on the fourth tranche.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the option at any time to prepay all of the then-outstanding notes, and Oberland Capital has the option to redeem the notes upon (i) a change in control of the Company, (ii) an event of default, or (iii) the maturity date. The redemption price of the notes shall equal to the following: (1) 130% of principal amounts of notes if the payment is made within 24 months of issuance; (2)145% of principal amounts of notes if the payment is made within 36 months of issuance; (3) If the payment is made within 48 months, an amount that would generate an internal rate of return (“IRR”) of 12.25%; (4) if the payment is made within 60 months of the issuance, an amount that would generate an IRR of 11.75%; (5) if the payment is made thereafter but before maturity, an amount that would generate an IRR of 11.25%; and (6) if the payment is made at maturity, an amount that would generate an IRR of 10.0%.</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is required to maintain trailing six-month net revenue based on a schedule that gradually increases up to $120.0 million as of the year ending December 31, 2026.</w:t>
      </w:r>
    </w:p>
    <w:tbl>
      <w:tblPr>
        <w:tblW w:w="2702" w:type="dxa"/>
        <w:jc w:val="left"/>
        <w:tblInd w:w="0" w:type="dxa"/>
        <w:tblLayout w:type="fixed"/>
        <w:tblCellMar>
          <w:top w:w="28" w:type="dxa"/>
          <w:left w:w="28" w:type="dxa"/>
          <w:bottom w:w="28" w:type="dxa"/>
          <w:right w:w="28" w:type="dxa"/>
        </w:tblCellMar>
      </w:tblPr>
      <w:tblGrid>
        <w:gridCol w:w="363"/>
        <w:gridCol w:w="319"/>
        <w:gridCol w:w="324"/>
        <w:gridCol w:w="353"/>
        <w:gridCol w:w="1083"/>
        <w:gridCol w:w="260"/>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Minimum Trailing</w:t>
              <w:br/>
              <w:t>Six-Month Net</w:t>
              <w:br/>
              <w:t>Revenue Threshold</w:t>
              <w:br/>
              <w:t>(in millions)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Q1 2026</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Q2 2026</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Q3 2026</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Q4 2026</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Company is required to maintain a trailing six-month Gross Margin of not less than 30%. The agreement also contains a revenue participation provision, under which, for any fiscal quarter, 0.01% of net revenue for such fiscal quarter (up to $100.0 million of net revenue for each fiscal year) per each $1.0 million principal amount of the notes will be payable to Oberland Capital. Amounts paid under the revenue participation provision during the three months ended March 31, 2026 and 2025 were interest payments on the debt. The revenue participation payments are additional financing costs of the loan and are included in the computation of the internal rate of return measures described above and do not reduce principal on the debt. During the three months ended March 31, 2026 and 2025, the Company made revenue participation payments of $0.5 million and $0.3 million,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Company elected to account for the 2024 Notes using the fair value option and changes in fair value related to the 2024 Notes are recorded in change in fair value of term loan on the Company’s statements of operations and comprehensive income (loss). The Company also elected to present interest incurred on the 2024 Notes in the change in fair value of the term loan; interest expense under the 2024 Notes was $1.0 million and $1.0 million for the three months ended March 31, 2026 and 2025, respectively. Total debt outstanding as of March 31, 2026 and December 31, 2025 was $90.0 million and $57.2 million, respectively, and included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on the Company’s balance sheets. Future principal payments of the Company’s long-term debt as of March 31, 2026 and December 31, 2025 are $80.0 million and $50.0 million, respectively, and are due during the year ending December 31, 2031. The term loan advances are secured by a lien on the Company’s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Western Alliance Bank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2021, the Company entered into a loan and security agreement (the “2021 LSA”) with Western Alliance Bank (“WAB”), which provided the Company with three tranches of capital advances totaling $15.0 million. In July 2022, the Company amended the 2021 LSA, such that WAB made four tranches of capital advances available to the Company for an aggregate amount up to $35.0 million (the "2022 LSA Amendment"). During August 2024, the Company elected to prepay the outstanding amount of the term loans of $35.0 million in principal and the $1.5 million exit fee that became payable upon early loan payoff.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Common Stock Warrants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2021 LSA, the Company issued to Western Alliance Bank (“WAB”) warrants to purchase shares of the Company’s common stock at an exercise price of $2.80 per share. The number of underlying shares of the warrants was initially 53,571 and was increased to 80,357 upon the funding of the loans in January 2022. The warrants will expire if unexercised on October 12, 2031.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2022 LSA Amendment, the Company issued up to 41,209 warrants for common stock at an exercise price of $10.92 per share to WAB. 30,907 warrants were exercisable upon execution of the agreement; the remaining warrants became exercisable as the Company made additional draws on the 2022 LSA Amendment. As of March 31, 2026 and December 31, 2025 all of the warrants were exercisable. The warrants will expire if unexercised on July 22, 2032.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the warrants issued to WAB are puttable warrants and thus are liability classified. The warrants were initially recognized at fair value with any subsequent changes in fair value to be recorded in other income (expense) in the statements of operations and comprehensive income (loss) (See Note 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Company’s IPO, WAB entered into a lock-up agreement with the Company, pursuant to which WAB may not sell, transfer, or otherwise dispose of the underlying shares of Class A common stock for a period of 180 days following the date that the Company filed its final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(7) Common Stock</w:t>
      </w:r>
    </w:p>
    <w:p>
      <w:pPr>
        <w:pStyle w:val="TextBody"/>
        <w:bidi w:val="0"/>
        <w:spacing w:lineRule="auto" w:line="288" w:before="160" w:after="160"/>
        <w:jc w:val="left"/>
        <w:rPr/>
      </w:pPr>
      <w:r>
        <w:rPr>
          <w:rFonts w:ascii="Arial;sans-serif" w:hAnsi="Arial;sans-serif"/>
          <w:b w:val="false"/>
          <w:color w:val="000000"/>
          <w:sz w:val="20"/>
        </w:rPr>
        <w:t>As of March 31, 2026 and December 31, 2025, the Company’s Certificate of Incorporation, as amended, authorized the Company to issue 800,000,000 shares of Class A common stock, par value $0.00001 per share, and 10,000,000 shares of Class B Common Stock, par value $0.00001</w:t>
      </w:r>
      <w:r>
        <w:rPr>
          <w:color w:val="000000"/>
        </w:rPr>
        <w:t xml:space="preserve"> </w:t>
      </w:r>
      <w:r>
        <w:rPr>
          <w:rFonts w:ascii="Arial;sans-serif" w:hAnsi="Arial;sans-serif"/>
          <w:b w:val="false"/>
          <w:color w:val="000000"/>
          <w:sz w:val="20"/>
        </w:rPr>
        <w:t xml:space="preserve">per share. Total common stock outstanding as of March 31, 2026 and December 31, 2025 was 41,428,242 and 41,252,105 shares of Class A common stock, respectively, and 4,552,650 shares of Class B common stock.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holders of Class A common stock are entitled to vote on all corporate matters at a ratio of one vote per share together with the holders of Class B common stock. The holders of Class B common stock are entitled to vote on all corporate matters at a ratio of 15 votes per share together with the holders of Class A common stock. The holders of Class A common stock and Class B common stock are also entitled to receive dividends whenever funds are legally available and when and if declared by the Board of Directors, subject to the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rights of holders of all series of stock outstanding. As of March 31, 2026 and December 31, 2025, no dividends had been declared or paid.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All of the outstanding shares of the Company’s Class B common stock will convert automatically on a one-to-one basis into shares of the Company’s Class A common stock upon the earliest of (i) 7 years from the date of filing the Post-IPO Certificate of Incorporation, and (ii) the date specified by a vote of the holders of Class B common stock representing a majority of the outstanding shares of Class B common stock. In addition, each share of Class B common stock held by a Co-Founder and such Co-Founder's permitted transferees will automatically convert into one share of Class A common stock upon the earlier of (i) the date that is between 90 days and 270 days, as determined by the Board of Directors, after the death or incapacitation of such Co-Founder or (ii) the date that is between 61 and 180 days, as determined by the Board of Directors, after the date on which such Co-Founder is no longer serving as an officer or director of the Company.</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Company is required to reserve and keep available out of its authorized but unissued shares of Class A common stock such a number of shares sufficient to affect the conversion of all outstanding shares of common stock warrants, all outstanding shares of Class B common stock, options granted under the Company’s 2018 Stock Plan and 2025 Equity Incentive Plan, shares available for grant under the Company’s 2025 Equity Incentive Plan, restricted stock units outstanding and shares available for issuance under the Employee Stock Purchase Plan.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amount of such shares of the Company’s Class A common stock reserved for these purposes at March 31, 2026 is as follows: </w:t>
      </w:r>
    </w:p>
    <w:tbl>
      <w:tblPr>
        <w:tblW w:w="8055" w:type="dxa"/>
        <w:jc w:val="left"/>
        <w:tblInd w:w="0" w:type="dxa"/>
        <w:tblLayout w:type="fixed"/>
        <w:tblCellMar>
          <w:top w:w="28" w:type="dxa"/>
          <w:left w:w="28" w:type="dxa"/>
          <w:bottom w:w="28" w:type="dxa"/>
          <w:right w:w="28" w:type="dxa"/>
        </w:tblCellMar>
      </w:tblPr>
      <w:tblGrid>
        <w:gridCol w:w="2513"/>
        <w:gridCol w:w="2213"/>
        <w:gridCol w:w="2218"/>
        <w:gridCol w:w="324"/>
        <w:gridCol w:w="324"/>
        <w:gridCol w:w="463"/>
      </w:tblGrid>
      <w:tr>
        <w:trPr/>
        <w:tc>
          <w:tcPr>
            <w:tcW w:w="25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warrants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121,566</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shares of Class B common stock</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4,552,650</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9,547,190</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outstanding</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152,557</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available for future issuance under the Employee Stock Purchase Plan</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548,880</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available for future grants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3,066,435</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stock reserved</w:t>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17,989,278</w:t>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Stock Plan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Incentive and non-statutory stock options may be granted with exercise prices not less than 100% of the estimated fair value of the common stock on the date of grant.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connection with the IPO, the Company adopted the 2025 Equity Incentive Plan (the “2025 Plan”), which became effective in October 2025, although no awards could be granted under the 2025 Plan until the IPO date. The 2018 Plan was terminated upon the completion of the IPO, however, awards outstanding under the 2018 Plan will remain outstanding and will continue to be governed by their existing terms. On the effective date of the 2025 Plan, the maximum number of shares of Class A common stock authorized for issuance was 3,297,972 shares of Class A common stock, plus up to 10,034,626 shares under the 2018 Plan that (i) remain available for issuance on the IPO date and (ii) that are outstanding on the IPO date and that are subsequently forfeited, expire, are reacquired by the Company or lapse unexercised, subject to annual adjustment on the first day of each fiscal year, beginning January 1, 2027, through January 1, 2035. The 2025 Plan authorizes the granting of stock options upon the approval of the Company’s Board of Directors to employees and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providing services to the Company. Stock options granted under the 2025 Plan generally expire within 10 years from the date of grant and are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Incentive and non-statutory stock options may be granted with exercise prices not less than 100% of the fair value of the Class A common stock on the date of grant, as determined by the Board of Directors. As of March 31, 2026 and December 31, 2025, the Company had authorized up to 3,447,650 and 3,390,306 shares of Class A common stock reserved for issuance under the 2025 Plan, respectively.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October 2025, the Company adopted the 2025 Employee Stock Purchase Plan (the “2025 ESPP”), which became effective in October 2025. As of March 31, 2026, the number of shares of Class A common stock available for issuance under the 2025 ESPP is 548,880 shares of Class A common stock, subject to annual adjustment on the first day of each fiscal year, beginning January 1, 2027, through January 1, 2035. No more than 8,400,000 shares of Class A common stock may be issued under the 2025 ESPP. Each participant may purchase up to the number of shares determined by the Board of Directors on any purchase date, not to exceed 7,500 shares. The price of each share of Class A common stock purchased under the 2025 ESPP will not be less than 85% of the lower of the fair market value per share of Class A common stock on the first day of the applicable offering period or the fair market value per share of Class A common stock on the purchase date.</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weighted average assumptions used to calculate the fair value of option grants issued under the 2025 Plan and 2018 Plan during the three months ended March 31, 2026 and 2025 were as follows:</w:t>
      </w:r>
    </w:p>
    <w:p>
      <w:pPr>
        <w:pStyle w:val="TextBody"/>
        <w:bidi w:val="0"/>
        <w:spacing w:before="0" w:after="0"/>
        <w:jc w:val="left"/>
        <w:rPr/>
      </w:pPr>
      <w:r>
        <w:rPr/>
      </w:r>
    </w:p>
    <w:tbl>
      <w:tblPr>
        <w:tblW w:w="4799" w:type="dxa"/>
        <w:jc w:val="left"/>
        <w:tblInd w:w="0" w:type="dxa"/>
        <w:tblLayout w:type="fixed"/>
        <w:tblCellMar>
          <w:top w:w="28" w:type="dxa"/>
          <w:left w:w="28" w:type="dxa"/>
          <w:bottom w:w="28" w:type="dxa"/>
          <w:right w:w="28" w:type="dxa"/>
        </w:tblCellMar>
      </w:tblPr>
      <w:tblGrid>
        <w:gridCol w:w="820"/>
        <w:gridCol w:w="720"/>
        <w:gridCol w:w="725"/>
        <w:gridCol w:w="225"/>
        <w:gridCol w:w="211"/>
        <w:gridCol w:w="376"/>
        <w:gridCol w:w="143"/>
        <w:gridCol w:w="143"/>
        <w:gridCol w:w="143"/>
        <w:gridCol w:w="225"/>
        <w:gridCol w:w="211"/>
        <w:gridCol w:w="376"/>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the Company’s stock option activity and related information is as follows:</w:t>
      </w:r>
    </w:p>
    <w:tbl>
      <w:tblPr>
        <w:tblW w:w="8814" w:type="dxa"/>
        <w:jc w:val="left"/>
        <w:tblInd w:w="0" w:type="dxa"/>
        <w:tblLayout w:type="fixed"/>
        <w:tblCellMar>
          <w:top w:w="28" w:type="dxa"/>
          <w:left w:w="28" w:type="dxa"/>
          <w:bottom w:w="28" w:type="dxa"/>
          <w:right w:w="28" w:type="dxa"/>
        </w:tblCellMar>
      </w:tblPr>
      <w:tblGrid>
        <w:gridCol w:w="1638"/>
        <w:gridCol w:w="1441"/>
        <w:gridCol w:w="1450"/>
        <w:gridCol w:w="370"/>
        <w:gridCol w:w="370"/>
        <w:gridCol w:w="371"/>
        <w:gridCol w:w="109"/>
        <w:gridCol w:w="109"/>
        <w:gridCol w:w="109"/>
        <w:gridCol w:w="262"/>
        <w:gridCol w:w="803"/>
        <w:gridCol w:w="135"/>
        <w:gridCol w:w="109"/>
        <w:gridCol w:w="109"/>
        <w:gridCol w:w="109"/>
        <w:gridCol w:w="227"/>
        <w:gridCol w:w="926"/>
        <w:gridCol w:w="167"/>
      </w:tblGrid>
      <w:tr>
        <w:trPr/>
        <w:tc>
          <w:tcPr>
            <w:tcW w:w="16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 Value</w:t>
              <w:br/>
              <w:t>(in thousands)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9,552,013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657,915 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w:t>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Exercised</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Forfeited or expired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as of March 31, 2026</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9,547,190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614,211 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exercisable as of March 31, 2026</w:t>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5,139,286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369,504 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expected to vest as of March 31, 2026</w:t>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9,547,190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614,211 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As of March 31, 2026, there was approximately $85.2 million of total unrecognized compensation cost related to unvested options, which is expected to be recognized over the weighted average period of 3.8 years.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 xml:space="preserve">Restricted Stock Unit Activity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 summary of the Company’s restricted stock unit activity and related information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tbl>
      <w:tblPr>
        <w:tblW w:w="5457" w:type="dxa"/>
        <w:jc w:val="left"/>
        <w:tblInd w:w="0" w:type="dxa"/>
        <w:tblLayout w:type="fixed"/>
        <w:tblCellMar>
          <w:top w:w="28" w:type="dxa"/>
          <w:left w:w="28" w:type="dxa"/>
          <w:bottom w:w="28" w:type="dxa"/>
          <w:right w:w="28" w:type="dxa"/>
        </w:tblCellMar>
      </w:tblPr>
      <w:tblGrid>
        <w:gridCol w:w="1087"/>
        <w:gridCol w:w="953"/>
        <w:gridCol w:w="959"/>
        <w:gridCol w:w="263"/>
        <w:gridCol w:w="263"/>
        <w:gridCol w:w="270"/>
        <w:gridCol w:w="109"/>
        <w:gridCol w:w="109"/>
        <w:gridCol w:w="109"/>
        <w:gridCol w:w="252"/>
        <w:gridCol w:w="899"/>
        <w:gridCol w:w="18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 Grant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Date Fair Value</w:t>
            </w:r>
          </w:p>
          <w:p>
            <w:pPr>
              <w:pStyle w:val="TableContents"/>
              <w:bidi w:val="0"/>
              <w:spacing w:lineRule="auto" w:line="240" w:before="0" w:after="0"/>
              <w:ind w:left="0" w:right="0" w:hanging="200"/>
              <w:jc w:val="center"/>
              <w:rPr>
                <w:rFonts w:ascii="Arial;sans-serif" w:hAnsi="Arial;sans-serif"/>
                <w:b/>
                <w:color w:val="000000"/>
                <w:sz w:val="16"/>
              </w:rPr>
            </w:pPr>
            <w:r>
              <w:rPr>
                <w:rFonts w:ascii="Arial;sans-serif" w:hAnsi="Arial;sans-serif"/>
                <w:b/>
                <w:color w:val="000000"/>
                <w:sz w:val="16"/>
              </w:rPr>
              <w:t>(per share)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Nonvested as of January 1, 2026</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108.94 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Issued</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76.24 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76.00 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Nonvested as of March 31, 2026</w:t>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85.59 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As of March 31, 2026, there was approximately $12.1 million of total unrecognized compensation cost related to outstanding restricted stock units, which is expected to be recognized over the weighted average period of 3.1 years.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There was no restricted stock unit activity during the three months ended March 31, 2025.</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shows stock-based compensation expense included in the statements of operations and comprehensive income (loss) for the three months ended March 31, 2026 and 2025 (in thousands):</w:t>
      </w:r>
    </w:p>
    <w:tbl>
      <w:tblPr>
        <w:tblW w:w="5844" w:type="dxa"/>
        <w:jc w:val="left"/>
        <w:tblInd w:w="0" w:type="dxa"/>
        <w:tblLayout w:type="fixed"/>
        <w:tblCellMar>
          <w:top w:w="28" w:type="dxa"/>
          <w:left w:w="28" w:type="dxa"/>
          <w:bottom w:w="28" w:type="dxa"/>
          <w:right w:w="28" w:type="dxa"/>
        </w:tblCellMar>
      </w:tblPr>
      <w:tblGrid>
        <w:gridCol w:w="1126"/>
        <w:gridCol w:w="987"/>
        <w:gridCol w:w="991"/>
        <w:gridCol w:w="211"/>
        <w:gridCol w:w="646"/>
        <w:gridCol w:w="109"/>
        <w:gridCol w:w="109"/>
        <w:gridCol w:w="109"/>
        <w:gridCol w:w="109"/>
        <w:gridCol w:w="211"/>
        <w:gridCol w:w="646"/>
        <w:gridCol w:w="109"/>
        <w:gridCol w:w="109"/>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The Company recorded income tax expense of $0.5 million and $0.1 million for the three months ended March 31, 2026 and 2025, respectively. Income tax expense consists primarily of income taxes for U.S. federal and the states in which the Company conducts business. Due to the Company’s history of losses in the United States, a full valuation allowance on substantially all of the Company’s deferred tax assets, including net operating loss carryforwards, research and development tax credits, and other book versus tax differences, was maintained. Based on the significant improvement in the Company's pre-tax income during the first quarter of 2026, and its current forecasts of sustained profitability, the Company expects that in the near future, which may occur prior to December 31, 2026, the positive evidence supporting the realizability of its deferred tax assets may outweigh the negative evidence, in which event the Company would be able to release a portion or all of the valuation allowance. A release of the valuation allowance would result in the recognition of an increase in deferred tax assets and an income tax benefit in the period in which the release occurs, although the exact timing and amount of the release is subject to change based on numerous factors, including projections of future taxable income, which continues to be assessed based on available information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Employee Benefit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three months ended March 31, 2026 and 2025, the Company contributed $1.1 million and $0.8 million to this plan,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Related Party Transactions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There were no material related party transactions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(11) Net Income (Loss) Per Share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Company applies the two-class method when computing net income (loss) per share attributable to common shareholders when shares meet the definition of participating securities. The two-class method determines net income (loss) per share of common stock and participating securities according to dividends declared or accumulated and participation rights in undistributed earnings. The two-class method requires net income (loss) available to common stockholders for the period to be allocated between common stock and participating securities based upon their respective rights to receive dividends as if all income for the period had been distributed. The holders of the Company’s redeemable convertible preferred stock were entitled to dividends in preference to common stockholders, if declared. Such dividends were not cumulative. Any remaining earnings would be distributed among the holders of redeemable convertible preferred stock and common stock pro rata on an as-converted basis. The holders of the Company’s redeemable convertible preferred stock were not contractually obligated to participate in the Company’s losses.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Basic net income (loss) per share is computed by dividing the net income (loss) attributable to common stockholders by the weighted-average number of shares of common stock outstanding during the period, less shares subject to repurchase. The dilutive effect of potentially dilutive common shares is reflected in diluted earnings per share by application of the if-converted method for the Company’s outstanding preferred stock, the treasury stock method for the Company’s other potentially dilutive securities, and is ultimately applied by sequencing instruments beginning with those that are more dilutive. For periods in which the Company reports net losses, diluted net income (loss) per common share is the same as basic net income (loss) per common share as all potentially dilutive securities are anti-dilutive.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dilutive net income (loss) per share attributable to common stockholders for the three months ended March 31, 2026 and 2025 (in thousands, except per share amounts):</w:t>
      </w:r>
    </w:p>
    <w:tbl>
      <w:tblPr>
        <w:tblW w:w="10205" w:type="dxa"/>
        <w:jc w:val="left"/>
        <w:tblInd w:w="0" w:type="dxa"/>
        <w:tblLayout w:type="fixed"/>
        <w:tblCellMar>
          <w:top w:w="28" w:type="dxa"/>
          <w:left w:w="28" w:type="dxa"/>
          <w:bottom w:w="28" w:type="dxa"/>
          <w:right w:w="28" w:type="dxa"/>
        </w:tblCellMar>
      </w:tblPr>
      <w:tblGrid>
        <w:gridCol w:w="2531"/>
        <w:gridCol w:w="2193"/>
        <w:gridCol w:w="2202"/>
        <w:gridCol w:w="246"/>
        <w:gridCol w:w="880"/>
        <w:gridCol w:w="109"/>
        <w:gridCol w:w="109"/>
        <w:gridCol w:w="109"/>
        <w:gridCol w:w="109"/>
        <w:gridCol w:w="277"/>
        <w:gridCol w:w="849"/>
        <w:gridCol w:w="109"/>
        <w:gridCol w:w="109"/>
        <w:gridCol w:w="109"/>
        <w:gridCol w:w="109"/>
        <w:gridCol w:w="155"/>
      </w:tblGrid>
      <w:tr>
        <w:trPr/>
        <w:tc>
          <w:tcPr>
            <w:tcW w:w="2531"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 net income (loss) per share: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income (loss) per share, basic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net income (loss) per share:</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Numerator: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Denominator: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45,932,719 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 xml:space="preserve">Outstanding stock options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Warrants to purchase common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diluted</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53,028,360 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 per share, diluted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for the three months ended March 31, 2026 and 2025:</w:t>
      </w:r>
    </w:p>
    <w:tbl>
      <w:tblPr>
        <w:tblW w:w="8131" w:type="dxa"/>
        <w:jc w:val="left"/>
        <w:tblInd w:w="0" w:type="dxa"/>
        <w:tblLayout w:type="fixed"/>
        <w:tblCellMar>
          <w:top w:w="28" w:type="dxa"/>
          <w:left w:w="28" w:type="dxa"/>
          <w:bottom w:w="28" w:type="dxa"/>
          <w:right w:w="28" w:type="dxa"/>
        </w:tblCellMar>
      </w:tblPr>
      <w:tblGrid>
        <w:gridCol w:w="1961"/>
        <w:gridCol w:w="1722"/>
        <w:gridCol w:w="1731"/>
        <w:gridCol w:w="195"/>
        <w:gridCol w:w="195"/>
        <w:gridCol w:w="195"/>
        <w:gridCol w:w="195"/>
        <w:gridCol w:w="195"/>
        <w:gridCol w:w="195"/>
        <w:gridCol w:w="446"/>
        <w:gridCol w:w="370"/>
        <w:gridCol w:w="250"/>
        <w:gridCol w:w="109"/>
        <w:gridCol w:w="109"/>
        <w:gridCol w:w="109"/>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Redeemable convertible preferred stock</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29,084,235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6,916,176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awards in exchange for non-recourse note</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 to purchase common stock</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 to purchase redeemable convertible preferred stock</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early-exercised options</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 xml:space="preserve">The following discussion and analysis of our financial condition and results of operations should be read together with our unaudited financial statements and the related notes included in Item 1 of this Quarterly Report. The following discussion and analysis as well as other parts of this Quarterly Report contains forward-looking statements that involve risks, uncertainties and assumptions including information with respect to our plans and strategy for our business. Our actual results and timing of selected events could differ materially from those anticipated in these forward-looking statements as a result of many factors, including, but not limited to, those discussed under Part I, Item 1A “Risk Factors” in our Annual Report on Form 10-K for the year ended December 31, 2025. See also the section titled “Special Note Regarding Forward-Looking Statements” in this Quarterly Report. Unless context requires otherwise, references to “we,” “us,” “our,” “BillionToOne,” or “the Company” here refer to BillionToOne,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BillionToOne is transforming healthcare by redefining molecular diagnostics. Our revolutionary single-molecule next-generation sequencing (smNGS) platform achieves what was once thought impossible—detecting and precisely quantifying genetic targets with single-molecule sensitivity. At the heart of this technological breakthrough lies our patented quantitative counting templates (QCTs), enabling measurements at the physical limit of detection—the single DNA molecule. This leap forward addresses a fundamental limitation in healthcare—the inability to detect sparse but clinically crucial disease signals in cell-free DNA (cfDNA).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Founded with the mission to remove the fear of the unknown through powerful and accessible smNGS-based diagnostics, we have swiftly transitioned from an R&amp;D-focused company to a proven commercial organization. Since launching UNITY, our first prenatal product in 2019, we have expanded our offerings first within prenatal genetics, and then to oncology diagnostics. To date, we have processed more than one million smNGS-based tests. Today, we test approximately 1 in 11 babies during pregnancy in the United States, a metric that is continuing to increase rapidly every year. UNITY is the first single-gene non-invasive prenatal test (sgNIPT) that uses cfDNA to provide fetal risk assessment for recessive conditions such as sickle cell disease (SCD) and cystic fibrosis (CF) without requiring a paternal sample or invasive procedures such as amniocentesis. Since then, we have expanded our UNITY offering to cover comprehensive prenatal genetic needs from a single maternal blood draw. In 2024, our unique fetal antigen tests resulted in national medical guideline changes, enabling us to position our tests as “the new standard in prenatal care,” further contributing to both test volume and average selling price (ASP) growth, as we leveraged the guideline changes to contract with more insurance companies. By detecting and identifying an extensive array of severe but actionable genetic disorders during pregnancy, we enable substantially better outcomes for newborns via earlier therapeutic and other clinical interventions. </w:t>
      </w:r>
    </w:p>
    <w:p>
      <w:pPr>
        <w:pStyle w:val="TextBody"/>
        <w:bidi w:val="0"/>
        <w:spacing w:lineRule="auto" w:line="288" w:before="0" w:after="160"/>
        <w:jc w:val="left"/>
        <w:rPr/>
      </w:pPr>
      <w:r>
        <w:rPr>
          <w:rFonts w:ascii="Arial;sans-serif" w:hAnsi="Arial;sans-serif"/>
          <w:b w:val="false"/>
          <w:color w:val="000000"/>
          <w:sz w:val="20"/>
        </w:rPr>
        <w:t>In May 2026, we announced the launch of Unity Confirm</w:t>
      </w:r>
      <w:r>
        <w:rPr>
          <w:rFonts w:ascii="Arial;sans-serif" w:hAnsi="Arial;sans-serif"/>
          <w:b w:val="false"/>
          <w:color w:val="000000"/>
          <w:sz w:val="13"/>
        </w:rPr>
        <w:t>TM</w:t>
      </w:r>
      <w:r>
        <w:rPr>
          <w:rFonts w:ascii="Arial;sans-serif" w:hAnsi="Arial;sans-serif"/>
          <w:b w:val="false"/>
          <w:color w:val="000000"/>
          <w:sz w:val="20"/>
        </w:rPr>
        <w:t>, a circulating fetal cell-based, non-invasive confirmation assay designed to enable confirmation of high-risk screening results. The new assay isolates intact circulating fetal cells from a simple maternal blood draw using BillionToOne’s Fetal Cell Capture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technology. With the assay, clinicians can confirm a high-risk result from a maternal blood draw without putting the pregnancy at risk from invasive methods such as chorionic villus sampling (CVS) or amniocentesis.</w:t>
      </w:r>
    </w:p>
    <w:p>
      <w:pPr>
        <w:pStyle w:val="TextBody"/>
        <w:bidi w:val="0"/>
        <w:spacing w:lineRule="auto" w:line="288" w:before="160" w:after="160"/>
        <w:jc w:val="left"/>
        <w:rPr/>
      </w:pPr>
      <w:r>
        <w:rPr>
          <w:rFonts w:ascii="Arial;sans-serif" w:hAnsi="Arial;sans-serif"/>
          <w:b w:val="false"/>
          <w:color w:val="000000"/>
          <w:sz w:val="20"/>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w:t>
      </w:r>
      <w:r>
        <w:rPr>
          <w:rFonts w:ascii="null;sans-serif" w:hAnsi="null;sans-serif"/>
          <w:b w:val="false"/>
          <w:color w:val="000000"/>
          <w:sz w:val="13"/>
        </w:rPr>
        <w:t>®</w:t>
      </w:r>
      <w:r>
        <w:rPr>
          <w:color w:val="000000"/>
        </w:rPr>
        <w:t xml:space="preserve"> </w:t>
      </w:r>
      <w:r>
        <w:rPr>
          <w:rFonts w:ascii="Arial;sans-serif" w:hAnsi="Arial;sans-serif"/>
          <w:b w:val="false"/>
          <w:color w:val="000000"/>
          <w:sz w:val="20"/>
        </w:rPr>
        <w:t>and Northstar Response</w:t>
      </w:r>
      <w:r>
        <w:rPr>
          <w:rFonts w:ascii="null;sans-serif" w:hAnsi="null;sans-serif"/>
          <w:b w:val="false"/>
          <w:color w:val="000000"/>
          <w:sz w:val="13"/>
        </w:rPr>
        <w:t>®</w:t>
      </w:r>
      <w:r>
        <w:rPr>
          <w:rFonts w:ascii="Arial;sans-serif" w:hAnsi="Arial;sans-serif"/>
          <w:b w:val="false"/>
          <w:color w:val="000000"/>
          <w:sz w:val="20"/>
        </w:rPr>
        <w:t xml:space="preserve">. Our Northstar Select test is used to guide therapy selection and has been shown to detect over 50% more actionable solid tumor mutations than conventional liquid biopsies.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 We are actively developing additional diagnostic products to address critical needs across the cancer care continuum. For example, in January 2026, we launched Northstar PGx, and in February 2026, we launched Northstar Select CH. Northstar PGx and Northstar CH are add-on applications for Northstar Select, and expand the Northstar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platform beyond genomic profiling to address chemotherapy safety (PGx) and clonal hematopoiesis (CH) — two critical decision points in selecting the right therapy for patients. Our current development efforts focus on MRD detection, leveraging our platform’s exceptional sensitivity to identify trace amounts of tumor DNA following curative-intent surgery in earlier stage cancers. We are developing a tissue-free, pan-cancer MRD test, which we expect to be commercially available in the fourth quarter of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business momentum is evidenced by our rapidly scaling commercial success and improving operational efficiency. Of the over one million smNGS-based tests that we have processed since our initial launch, over 45% of them, or approximately 676,000 tests, were processed within the last 12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Our key performance metrics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revenue is driven by selling and performing molecular diagnostic tests ordered by physicians and other providers. We generally bill the patients’ insurance carrier, Medicaid, Medicare, the patient, or a combination upon delivery of the test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revenue is the function of two inputs: the number of tests ordered and the ASP that we can achieve through reimbursement. There is a flywheel effect between these two factors. The more tests that we process, the easier it becomes for us to contract with third-party payors and become an in-network provider. This increases our ASP for our tests, as the denial rate of our tests significantly decreases once we become an in-network provider. As we become an in-network provider, it becomes easier for our sales representatives to convince ordering providers to use our tests. We believe that the combined effects of ASP increases, cost of goods sold (COGS) decreases, and improved operational efficiency have been the main drivers of our ability to generate net income in recent periods.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total test volume, which represents the number of billable tests that we receive for processing during each period and which we also refer to as tests accessioned, grew to approximately 189,000 tests for the three months ended March 31, 2026, compared to 137,000 for the three months ended March 31, 2025. In addition, our total delivered and billable test volume, which represents the number of billable tests for which we deliver a result to the ordering provider each period, grew to approximately 188,000 tests for the three months ended March 31, 2026, compared to 131,000 delivered and billable tests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Key factors affecting our results of operations and performance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believe certain factors have influenced, and will continue to influence, our operating performance and results of operations. While each of these factors presents significant opportunities for our business, they also pose important risks and challenges that we must successfully address to sustain and grow our business and improve our results of operations. Our ability to successfully address the factors below is subject to various risks and uncertainties, including those described under Part I, Item 1A. “Risk Factors.” in our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Market adoption and commercial success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success and future growth depend on maintaining and expanding market acceptance and achieving commercial success in our prenatal and oncology product lines. This requires our sales teams to develop and maintain relationships with obstetricians, maternal-fetal medicine specialists, oncologists, and other providers. In addition, our sales teams must be able to convincingly communicate the clinical utility and value of our tests in enabling personalized patient care. The commercial success of our existing tests and any new tests we develop will depend upon factors such as clinical evidence supporting their effectiveness, inclusion in clinical practice guidelines, adoption by the medical community, favorable coverage by third-party payors, and our ability to differentiate our offerings in competitive markets. In addition, our ability to maintain and expand our sales and marketing capabilities to support increased adoption of our molecular diagnostic solutions will be another key factor to our success.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Payor coverage, contracting, and more effective reimbursement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ASPs and revenue depend heavily on our success in achieving and maintaining broad coverage and adequate reimbursement for our molecular diagnostic tests from third-party payors. Third-party reimbursement for our tests represented more than 90% of our revenue for the three months ended March 31, 2026, and we expect government and commercial third-party payors to continue to be our primary source of payments. Coverage and reimbursement by third-party payors, including commercial health insurers, managed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organizations, and government healthcare programs such as Medicare and Medicaid, can be limited and uncertain for the types of specialized molecular diagnostic tests we offer. Each payor makes its own determination as to whether to establish a policy to cover our tests, as well as the amount it will reimburse for such tests. Payors make these determinations based on factors that include medical necessity, clinical utility, and cost-effectiveness. Reimbursement rates vary significantly by test-type, payor, and coverage determination. Historically, our market access and reimbursement teams have pursued strategies to increase our ASPs by expanding our payor coverage and reimbursement. We believe these strategies will continue to grow our ASPs over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Internalizing and strengthening our reimbursement capabilities and incorporating automation and AI to reimbursement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have invested in building a high-performing, specialized team dedicated to all aspects of reimbursement, including claims management, appeals, and payor relations. In July 2023, we transitioned from relying on third-party vendors to managing our reimbursement function in-house. This team’s expertise and commitment have enabled a more consistent, and accurate billing and appeal process, along with the rapid identification and resolution of reimbursement issues.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have integrated our internal systems end-to-end, automated many of the repetitive reimbursement procedures, and incorporated AI for significant efficiency improvements (e.g., using large language models (“LLMs”) to read, categorize, and react to thousands of correspondence items from insurance companies that we receive every day), allowing our team to significantly increase their productivity. This strategic move not only streamlines our operations and improves cash flow but also allows us to better advocate for the value of our diagnostic tests with payors by providing rapid feedback and responding proactively to evolving reimbursement trends.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Relentless focus on reducing costs and increasing operational efficiency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financial results depend upon our ability to support current and future levels of demand for our prenatal screening and oncology diagnostic tests while maintaining discipline around our cost structure. Historically, we have been able to grow the size of our operational team much more slowly than our test volume increases. This has led to significantly increased operational leverage and efficiencies on a per-test basis and has been a driver in improving our net income (loss) margin.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actively seek ways to continuously reduce our costs-per-test and improve our gross profit margin, long-term profitability, and return on investment. For example, we have reduced COGS per test through automation and optimization of laboratory workflows, successful negotiations with suppliers, and re-design and re-validation of assays with more optimized chemistry or higher-throughput sequencing. Nevertheless, as our test volumes grow, we have made and will continue to make significant investments in state-of-the-art infrastructure to support our growth. In 2023 we successfully expanded our laboratory operations from a single facility with 36,000 square feet in Menlo Park, CA by adding a second laboratory facility in Union City, CA with 90,000 square feet. To further support our growth beyond our current facilities, we have also entered a lease for the construction of 220,000 square feet of laboratory space in Austin, Texas with favorable terms and a tenant improvement package. We expect to occupy this facility in 2027, and open for processing commercial samples in 2028. Once the facility is fully utilized, we expect our potential testing capacity to be nearly triple our current capabilities.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must simultaneously enhance our customer service capabilities, improve our billing and administrative processes, expand our quality assurance programs, incorporate new laboratory equipment and automation, and implement new technology systems, all while maintaining competitive turnaround times. As such, our expenses may increase. In order to maintain cost discipline, we will continue to re-design and optimize our processes, integrate AI into our workflows, and increasingly automate both our laboratory and non-laboratory operations. We believe that our continued focus in optimization, automation, and AI for higher operational efficiencies will drive further productivity gains.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Continued research and development and new product innovation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expect to maintain significant levels of investment in research and development as we continue to develop new molecular diagnostic assays, enhance existing tests, and expand our testing capabilities into new clinical applications within our prenatal screening and oncology diagnostics product lines. These investments include costs for new test development, costs to validate new assays or to improve current assays, clinical studies to demonstrate utility and support reimbursement efforts, and development costs for new testing methodologies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and platforms. Our ability to develop new products, obtain regulatory approvals for such products when required, successfully launch new products into the market, and drive adoption by healthcare providers will continue to play a key role in our competitive position and financial results. We believe these investments are critical to maintaining our technological leadership, supporting physician adoption, and driving favorable coverage decisions by payors across both our prenatal and oncology product 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Key components of results of operations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majority of our revenue is derived from sales of our prenatal test, UNITY, and a smaller portion is derived from sales of our liquid biopsy oncology tests, Northstar. Specifically, during the year ended December 31, 2025, 91% of our revenue was from our prenatal tests, 8% of our revenue was from our oncology tests, and 1% of our revenue was from our clinical trial support and other services. Additionally, during the three months ended March 31, 2026 and 2025, approximately 89% and 95%, respectively, of our revenue was from our prenatal tests, 10% and 4%, respectively, of our revenue was from our oncology tests, and 1% and 1%, respectively, of our revenue was from our clinical trial support and other services. We market our products to health clinics and physicians or a combination of the insurance carrier and patient for fees. Revenue for tests is recognized when test results are delivered to the ordering physician.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many health clinics and physicians, the payment we ultimately receive depends upon the rate of reimbursement from insurance carriers. We may also negotiate rates with patients if the patient is responsible for payment. Our efforts in obtaining reimbursement based on individual claims, including pursuing appeals or reconsiderations of claim denials, may take a substantial amount of time, and bills may not be paid for many months or, in some cases, ultimately may not receive payment.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expect our revenue to increase over time as we expand our sales efforts, introduce new products, and contract with more payors. In addition, positive reimbursement decisions from insurance carriers would eliminate much of the uncertainty around payment and increase our overall revenue growth from ordering physicians.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clinical trial support and other services include revenue from strategic partnerships with Johnson &amp; Johnson that utilize our testing capabilities as part of a project to perform clinical trials and the development and commercialization of a companion diagnostic. Revenue from these strategic partnership agreements are recognized as services are performed and costs are incurred. Our revenue derived from these agreements has not been material to our results of operations.</w:t>
      </w:r>
    </w:p>
    <w:p>
      <w:pPr>
        <w:pStyle w:val="TextBody"/>
        <w:bidi w:val="0"/>
        <w:spacing w:lineRule="auto" w:line="288" w:before="320" w:after="283"/>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cost of revenue consists primarily of expenses related to materials and consumables, test kits, personnel-related expenses such as salaries, stock-based compensation expense and related benefits for its operations and support personnel, shipping costs, overhead allocations, depreciation expense, facilities-related expenses and other services used in connection with delivering our services.</w:t>
      </w:r>
    </w:p>
    <w:p>
      <w:pPr>
        <w:pStyle w:val="TextBody"/>
        <w:bidi w:val="0"/>
        <w:spacing w:lineRule="auto" w:line="288" w:before="320" w:after="283"/>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profit represents revenue less cost of revenue. Gross margin is gross profit expressed as a percentage of revenue. Our gross profit has been, and may in the future be, influenced by several factors, including test volumes and prices paid for our tests, changes in materials and consumables costs, laboratory processing costs, personnel costs, shipping, and logistics costs.</w:t>
      </w:r>
    </w:p>
    <w:p>
      <w:pPr>
        <w:pStyle w:val="TextBody"/>
        <w:bidi w:val="0"/>
        <w:spacing w:lineRule="auto" w:line="288" w:before="32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personnel-related expenses such as salaries, stock-based compensation expense and related benefits for our product development employees. Research and development expenses also include non-personnel costs such as materials and consumables used for research, clinical third-party services and consulting expenses, and an allocation of our general overhead expenses. These costs are expensed in the period they are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that continued investment in our products is important to our future growth and, as a result, we expect our research and development costs to increase in absolute dollars and moderately decline as a percentage of revenue over time if our revenue increases.</w:t>
      </w:r>
    </w:p>
    <w:p>
      <w:pPr>
        <w:pStyle w:val="TextBody"/>
        <w:bidi w:val="0"/>
        <w:spacing w:lineRule="auto" w:line="288" w:before="320" w:after="16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Selling, general and administrative expenses consist primarily of personnel-related expenses such as salaries, stock-based compensation expense and related benefits for our sales, marketing, and general and administrative employees. Selling, general and administrative expenses also include our commission payments, marketing related expenses in promoting our brand and tests, and training costs for sales employees. All selling, general and administrative costs are expensed in the period as incurred.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expect selling, general and administrative expenses to increase in absolute dollars as we increase our sales and marketing personnel, increase product offerings, grow our operations and incur additional expenses associated with operating as a public company. These expenses are associated with operating as a public company include expenses necessary to comply with the rules and regulations applicable to companies listed on NASDAQ and related compliance and reporting obligations pursuant to the rules and regulations of the SEC, as well as higher expenses for general and director and officer insurance, investor relations and other professional services.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income consists of income earned on our short-term cash and cash equivalents which include money market funds.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expense is attributable to interest on our finance leases.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Change in fair value of term loan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Change in fair value of term loan relates to the Oberland Capital debt where we elected the fair value option under ASC 825 and is accounted for at fair value on a recurring basis. We also elected to record interest expense related to the Oberland Capital debt as change in fair value of term loan.</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Other expense, net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Other expense, net is comprised of the change in fair value of our liabilities related to warrants for common stock and redeemable convertible preferred stock and various income or expense items of a non-recurring nature.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Provision for income taxes consists of U.S. federal and state income taxes. We maintain a full valuation allowance on our federal and state deferred tax assets as we have concluded that it is not more likely than not that the deferred tax assets will be realized.</w:t>
      </w:r>
    </w:p>
    <w:p>
      <w:pPr>
        <w:pStyle w:val="TextBody"/>
        <w:bidi w:val="0"/>
        <w:spacing w:lineRule="auto" w:line="288" w:before="160" w:after="160"/>
        <w:jc w:val="left"/>
        <w:rPr/>
      </w:pPr>
      <w:r>
        <w:rPr>
          <w:rFonts w:ascii="Arial;sans-serif" w:hAnsi="Arial;sans-serif"/>
          <w:b w:val="false"/>
          <w:color w:val="000000"/>
          <w:sz w:val="20"/>
        </w:rPr>
        <w:t xml:space="preserve">We account for uncertain tax positions in accordance with ASC 740-10, </w:t>
      </w:r>
      <w:r>
        <w:rPr>
          <w:rFonts w:ascii="Arial;sans-serif" w:hAnsi="Arial;sans-serif"/>
          <w:b w:val="false"/>
          <w:i/>
          <w:color w:val="000000"/>
          <w:sz w:val="20"/>
        </w:rPr>
        <w:t>Accounting for Uncertainty in Income Taxes</w:t>
      </w:r>
      <w:r>
        <w:rPr>
          <w:rFonts w:ascii="Arial;sans-serif" w:hAnsi="Arial;sans-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 are classified in the financial statements as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Comparison of the three months ended March 31, 2026 and 2025</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information derived from our statements of operations for each of the periods presented: </w:t>
      </w:r>
    </w:p>
    <w:tbl>
      <w:tblPr>
        <w:tblW w:w="10098" w:type="dxa"/>
        <w:jc w:val="left"/>
        <w:tblInd w:w="0" w:type="dxa"/>
        <w:tblLayout w:type="fixed"/>
        <w:tblCellMar>
          <w:top w:w="28" w:type="dxa"/>
          <w:left w:w="28" w:type="dxa"/>
          <w:bottom w:w="28" w:type="dxa"/>
          <w:right w:w="28" w:type="dxa"/>
        </w:tblCellMar>
      </w:tblPr>
      <w:tblGrid>
        <w:gridCol w:w="1679"/>
        <w:gridCol w:w="1477"/>
        <w:gridCol w:w="1479"/>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322"/>
        <w:gridCol w:w="324"/>
        <w:gridCol w:w="518"/>
      </w:tblGrid>
      <w:tr>
        <w:trPr/>
        <w:tc>
          <w:tcPr>
            <w:tcW w:w="167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Percent</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88" w:before="0" w:after="160"/>
              <w:jc w:val="center"/>
              <w:rPr>
                <w:rFonts w:ascii="Arial;sans-serif" w:hAnsi="Arial;sans-serif"/>
                <w:b w:val="false"/>
                <w:i/>
                <w:color w:val="000000"/>
                <w:sz w:val="20"/>
              </w:rPr>
            </w:pPr>
            <w:r>
              <w:rPr>
                <w:rFonts w:ascii="Arial;sans-serif" w:hAnsi="Arial;sans-serif"/>
                <w:b w:val="false"/>
                <w:i/>
                <w:color w:val="000000"/>
                <w:sz w:val="20"/>
              </w:rPr>
              <w:t>(in thousands, except percent)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83.8 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39.5 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37,972 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108.3 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56.0 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52.1 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870.4 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208.4 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(75.0)</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37.8 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467.9 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other (expense)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142.9 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576.1 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439.0 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 and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21,958 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550.6 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160" w:after="283"/>
        <w:jc w:val="left"/>
        <w:rPr>
          <w:rFonts w:ascii="Arial;sans-serif" w:hAnsi="Arial;sans-serif"/>
          <w:b w:val="false"/>
          <w:color w:val="000000"/>
          <w:sz w:val="16"/>
        </w:rPr>
      </w:pPr>
      <w:r>
        <w:rPr>
          <w:rFonts w:ascii="Arial;sans-serif" w:hAnsi="Arial;sans-serif"/>
          <w:b w:val="false"/>
          <w:color w:val="000000"/>
          <w:sz w:val="16"/>
        </w:rPr>
        <w:t>(1) Includes stock-based compensation expense as follows:</w:t>
      </w:r>
    </w:p>
    <w:tbl>
      <w:tblPr>
        <w:tblW w:w="6053" w:type="dxa"/>
        <w:jc w:val="left"/>
        <w:tblInd w:w="0" w:type="dxa"/>
        <w:tblLayout w:type="fixed"/>
        <w:tblCellMar>
          <w:top w:w="28" w:type="dxa"/>
          <w:left w:w="28" w:type="dxa"/>
          <w:bottom w:w="28" w:type="dxa"/>
          <w:right w:w="28" w:type="dxa"/>
        </w:tblCellMar>
      </w:tblPr>
      <w:tblGrid>
        <w:gridCol w:w="1360"/>
        <w:gridCol w:w="1192"/>
        <w:gridCol w:w="1197"/>
        <w:gridCol w:w="211"/>
        <w:gridCol w:w="646"/>
        <w:gridCol w:w="109"/>
        <w:gridCol w:w="109"/>
        <w:gridCol w:w="109"/>
        <w:gridCol w:w="109"/>
        <w:gridCol w:w="211"/>
        <w:gridCol w:w="64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Revenue increased $49.4 million, or 84%, for the three months ended March 31, 2026 compared to the three months ended March 31, 2025. This increase was driven primarily by a 44% increase in the total volume of delivered and billable tests to approximately 188,000 for the three months ended March 31, 2026 from approximately 131,000 for the three months ended March 31, 2025. The increase in revenue was also attributable to an increase in our Overall ASP of 28%. Overall ASP is the weighted average ASP across all of our prenatal and oncology products. It is computed by dividing revenue for our prenatal and oncology tests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number of tests that are delivered and billable. The number of tests that are delivered and billable in a given period represents the number of billable tests for which we deliver a result to the ordering provider in such period. Furthermore, new agreements with payors entered into in the first quarter of 2026 resulted in an increase in revenue related to expected payments on the reprocessing of claims for tests delivered in the three months ended March 31, 2026 and the year ended December 31, 2025. Revenue related to services performed during the year ended December 31, 2025 that were covered by these payors contributed slightly more than half of the $9.2 million in revenue related to performance obligations satisfied in prior periods for the three months ended March 31,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derive our revenue primarily from the number of tests processed and results delivered to the ordering physician. All tests processed are accessioned in our laboratories.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increase in test volume was driven by higher volumes of our prenatal tests primarily as a result of the expansion of our sales force for our prenatal products. In addition, volumes for both our Northstar Select and Northstar Response oncology tests increased as a result of the expansion of our oncology sales force. The increase in our ASP per test was driven by several factors. For example, we increased the number of contracts compared to last year that we have with payors for our prenatal tests and we continued to benefit from our proprietary PLA code, both of which drove increases in ASP for the three months ended March 31, 2026 compared to the same period in the prior year.</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Cost of revenue increased $8.3 million, or 40%, for the three months ended March 31, 2026 compared to the three months ended March 31, 2025. The increase was primarily due to an increase of $5.7 million in expenses associated with testing samples and supplies used in processing tests, phlebotomy, and related shipping costs, driven by a higher volume of tests processed; and an increase of $2.6 million in labor and consulting related expenses, including stock-based compensation, which were driven by higher test volumes and an increase in product support.</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profit increased $41.1 million, or 108%, for the three months ended March 31, 2026 compared to the three months ended March 31, 2025. The increase was primarily due to an increase in the number of tests processed and a higher Overall ASP in conjunction with a lower Overall Cost Per Test as we continued to actively reduce variable expenses and increase efficiency from our fixed costs. Overall Cost Per Test is the weighted average cost per test across all of our prenatal and oncology products. It is computed by dividing cost of goods sold for our prenatal and oncology tests by the number of tests that are accessioned. The number of tests that are accessioned in a given period represents the number of billable tests that we receive for processing during such period. We refer to this number as our “Total Test Volume.”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margin increased to 73% for the three months ended March 31, 2026 from 64% for the three months ended March 31, 2025 for the reasons described above.</w:t>
      </w:r>
    </w:p>
    <w:p>
      <w:pPr>
        <w:pStyle w:val="TextBody"/>
        <w:bidi w:val="0"/>
        <w:spacing w:lineRule="auto" w:line="268" w:before="0" w:after="0"/>
        <w:jc w:val="left"/>
        <w:rPr/>
      </w:pPr>
      <w:r>
        <w:rPr>
          <w:rFonts w:ascii="Arial;sans-serif" w:hAnsi="Arial;sans-serif"/>
          <w:b w:val="false"/>
          <w:color w:val="000000"/>
          <w:sz w:val="20"/>
        </w:rPr>
        <w:t>The increase in our Overall ASP contributed to all of the improvement of our gross profit margin for the three months ended March 31, 2026 as compared to the three months ended March 31, 2025. This improvement was partially offset by an increase in our Overall Cost Per Test by 1%</w:t>
      </w:r>
      <w:r>
        <w:rPr>
          <w:color w:val="000000"/>
        </w:rPr>
        <w:t xml:space="preserve"> </w:t>
      </w:r>
      <w:r>
        <w:rPr>
          <w:rFonts w:ascii="Arial;sans-serif" w:hAnsi="Arial;sans-serif"/>
          <w:b w:val="false"/>
          <w:color w:val="000000"/>
          <w:sz w:val="20"/>
        </w:rPr>
        <w:t>for the three months ended March 31, 2026 as compared to the three months ended March 31, 2025, offsetting some of the benefit on gross margin from the increase in Overall ASP over the same periods. Cost Per Test for both of our oncology products and for our prenatal products declined during the 3 months ended March 31, 2026 compared to both the three months ended December 31, 2025 and the three months ended March 31, 2025. However, these improvements were offset by a shift in the sales mix towards oncology products which have higher costs-per-test, resulting in the 1% increase in our Overall Cost Per Test.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2026, our cost of goods sold consisted of 58% of variable costs and 42% of fixed costs and for the three months ended March 31, 2025 our cost of goods sold consisted of 53% of variable costs and 47% of fixed costs. The increase in variable costs during the period is attributable primarily to an increase in test volume from prenatal testing, partially offset by efficiencies gained in our lab from the increased test volume in both prenatal and oncology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Research and development expenses increased $4.3 million, or 41%, for the three months ended March 31, 2026 compared to the three months ended March 31, 2025. The increase was primarily due to a $2.2 million increase in personnel costs which included $0.6 million in stock-based compensation expense, a $1.6 million increase in materials, equipment expenses and overhead allocations, a $0.3 million increase in consulting and other costs and a $0.2 million increase in clinical studies expense. The increase in research and development expenses was primarily driven by an increase in our average research and development headcount of 30 employees during the periods presented to support our product development and innovation efforts.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Selling, general and administrative expenses increased $16.7 million, or 56%, for the three months ended March 31, 2026 compared to the three months ended March 31, 2025. The increase was primarily due to an $12.3 million increase in salaries, commissions and related expenditure which included $3.3 million in stock-based compensation expense, a $2.5 million increase in facilities and other costs, and a $1.9 million increase in professional and consulting fees. The increase in selling, general and administrative expenses was driven by an increase in our average selling, general and administrative headcount of 129 employees during the periods presented to support our sales, marketing and other corporate strategies.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income increased by $3.1 million, or 208%, for the three months ended March 31, 2026 compared to the three months ended March 31, 2025. The increase was primarily due to a higher average balance of cash and cash equivalents, compared to the three months ended March 31, 2025, due to the proceeds from our IPO in November 2025.</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Interest expense decreased $30.0 thousand, or 75%, for the three months ended March 31, 2026 compared to the three months ended March 31, 2025.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Change in fair value of term loan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Change in fair value of term loan increased $1.2 million, or 38% for the three months ended March 31, 2026 compared to the three months ended March 31, 2025. The increase was due to a change in fair value of the Oberland Capital debt of $1.0 million, primarily related to the draw of the third tranche on March 31, 2026, and an increase revenue participation payments of $0.2 million.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Other expense, net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Other expense, net increased $0.2 million, or 468%, for the three months ended March 31, 2026 compared to the three months ended March 31, 2025. The increase was primarily due to $0.3 million decrease in the fair value of our common stock warrants, due to a reduction in expected term, which was partially offset by losses incurred on the disposal of fixed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We use certain non-GAAP financial measures to supplement our financial statements, which are presented in accordance with GAAP. These non-GAAP financial measures include EBITDA, Adjusted EBITDA, non-GAAP income (loss) from operations, and non-GAAP net income (loss). We use these non-GAAP financial measures for financial and operational decision-making and as a means to assist us in evaluating period-to-period comparisons. By excluding the impact of certain items that we believe do not directly reflect our underlying operations, we are of the opinion that EBITDA, Adjusted EBITDA, non-GAAP income (loss) from operations and non-GAAP net income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EBITDA</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define EBITDA as net income (loss) adjusted for income taxes, interest income, interest expense, and depreciation and amortization expense. A reconciliation of net income (loss), the most directly comparable GAAP financial measure, to EBITDA is presented below (in thousands):</w:t>
      </w:r>
    </w:p>
    <w:tbl>
      <w:tblPr>
        <w:tblW w:w="5605" w:type="dxa"/>
        <w:jc w:val="left"/>
        <w:tblInd w:w="0" w:type="dxa"/>
        <w:tblLayout w:type="fixed"/>
        <w:tblCellMar>
          <w:top w:w="28" w:type="dxa"/>
          <w:left w:w="28" w:type="dxa"/>
          <w:bottom w:w="28" w:type="dxa"/>
          <w:right w:w="28" w:type="dxa"/>
        </w:tblCellMar>
      </w:tblPr>
      <w:tblGrid>
        <w:gridCol w:w="978"/>
        <w:gridCol w:w="859"/>
        <w:gridCol w:w="863"/>
        <w:gridCol w:w="211"/>
        <w:gridCol w:w="751"/>
        <w:gridCol w:w="109"/>
        <w:gridCol w:w="109"/>
        <w:gridCol w:w="109"/>
        <w:gridCol w:w="109"/>
        <w:gridCol w:w="211"/>
        <w:gridCol w:w="706"/>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change in fair value of term loan; and change in fair value of warrant liabilities. A reconciliation of net income (loss), the most directly comparable GAAP financial measure, to Adjusted EBITDA is presented below (in thousands):</w:t>
      </w:r>
    </w:p>
    <w:tbl>
      <w:tblPr>
        <w:tblW w:w="6474" w:type="dxa"/>
        <w:jc w:val="left"/>
        <w:tblInd w:w="0" w:type="dxa"/>
        <w:tblLayout w:type="fixed"/>
        <w:tblCellMar>
          <w:top w:w="28" w:type="dxa"/>
          <w:left w:w="28" w:type="dxa"/>
          <w:bottom w:w="28" w:type="dxa"/>
          <w:right w:w="28" w:type="dxa"/>
        </w:tblCellMar>
      </w:tblPr>
      <w:tblGrid>
        <w:gridCol w:w="1293"/>
        <w:gridCol w:w="1135"/>
        <w:gridCol w:w="1141"/>
        <w:gridCol w:w="211"/>
        <w:gridCol w:w="751"/>
        <w:gridCol w:w="109"/>
        <w:gridCol w:w="109"/>
        <w:gridCol w:w="109"/>
        <w:gridCol w:w="109"/>
        <w:gridCol w:w="211"/>
        <w:gridCol w:w="706"/>
        <w:gridCol w:w="109"/>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Non-GAAP income (loss) from operations</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define non-GAAP income (loss) from operations as income (loss) from operations presented in accordance with GAAP, adjusted to exclude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reconciliation of income (loss) from operations, the most directly comparable GAAP financial measure, to non-GAAP income (loss) from operations is presented below (in thousands):</w:t>
      </w:r>
    </w:p>
    <w:tbl>
      <w:tblPr>
        <w:tblW w:w="6625" w:type="dxa"/>
        <w:jc w:val="left"/>
        <w:tblInd w:w="0" w:type="dxa"/>
        <w:tblLayout w:type="fixed"/>
        <w:tblCellMar>
          <w:top w:w="28" w:type="dxa"/>
          <w:left w:w="28" w:type="dxa"/>
          <w:bottom w:w="28" w:type="dxa"/>
          <w:right w:w="28" w:type="dxa"/>
        </w:tblCellMar>
      </w:tblPr>
      <w:tblGrid>
        <w:gridCol w:w="1348"/>
        <w:gridCol w:w="1184"/>
        <w:gridCol w:w="1188"/>
        <w:gridCol w:w="211"/>
        <w:gridCol w:w="751"/>
        <w:gridCol w:w="109"/>
        <w:gridCol w:w="109"/>
        <w:gridCol w:w="109"/>
        <w:gridCol w:w="109"/>
        <w:gridCol w:w="211"/>
        <w:gridCol w:w="706"/>
        <w:gridCol w:w="109"/>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Non-GAAP 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Non-GAAP net income (loss)</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monitor non-GAAP net income (loss) for planning and performance measurement purposes. We define non-GAAP net income (loss) as net income (loss) reported on our statements of operations, excluding the impact of stock-based compensation expense, change in fair value of the term loan, and change in fair value of convertible notes. We exclude fair value adjustments related to debt, which can fluctuate significantly and do not directly reflect our underlying operations. Our calculation of non-GAAP net income (loss) does not currently include the tax effects of the stock-based compensation expense adjustment because such tax effects have not been material to date.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reconciliation of net income (loss), the most directly comparable GAAP financial measure, to non-GAAP net income (loss) is presented below (in thousands):</w:t>
      </w:r>
    </w:p>
    <w:tbl>
      <w:tblPr>
        <w:tblW w:w="6475" w:type="dxa"/>
        <w:jc w:val="left"/>
        <w:tblInd w:w="0" w:type="dxa"/>
        <w:tblLayout w:type="fixed"/>
        <w:tblCellMar>
          <w:top w:w="28" w:type="dxa"/>
          <w:left w:w="28" w:type="dxa"/>
          <w:bottom w:w="28" w:type="dxa"/>
          <w:right w:w="28" w:type="dxa"/>
        </w:tblCellMar>
      </w:tblPr>
      <w:tblGrid>
        <w:gridCol w:w="1292"/>
        <w:gridCol w:w="1137"/>
        <w:gridCol w:w="1141"/>
        <w:gridCol w:w="211"/>
        <w:gridCol w:w="751"/>
        <w:gridCol w:w="109"/>
        <w:gridCol w:w="109"/>
        <w:gridCol w:w="109"/>
        <w:gridCol w:w="109"/>
        <w:gridCol w:w="211"/>
        <w:gridCol w:w="706"/>
        <w:gridCol w:w="109"/>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Non-GAAP net income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Since our inception, prior to our IPO, we financed our operations primarily through the issuance of convertible notes, redeemable convertible preferred stock, debt, and cash generated from the sale of our products. As of March 31, 2026, our principal sources of liquidity were cash and cash equivalents of $537.5 million and working capital of $567.0 million. On November 7, 2025, we closed our IPO of our Class A common stock. The total net proceeds received were approximately $286.9 million after deducting underwriting discounts, commissions and offering expenses payable by us. Cash and cash equivalents are comprised of cash held in sweep accounts, checking accounts, lock-box accounts and money market funds. Our principal use of cash is to fund operations and invest in research and development to support our growth.</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have generated significant losses from operations and negative cash flows from operating activities in the past as reflected in our accumulated deficit of $256.8 million as of March 31, 2026. While we did have positive income from operations and positive cash flows in the three months ended March 31, 2026, we may be unable to sustain positive income from operations and positive cash flows in future periods. We believe our current cash and cash equivalents will be sufficient to fund our operations for at least the next 12 months. Our future capital requirements, however, will depend on many factors, including our growth rate, the timing and 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Oberland Capital note purchase agreement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 debt facility with availability of up to $140.0 million, issuable in four separate tranches, pursuant to a Note Purchase Agreement, dated as of August 2, 2024, by and among us, the purchasers party thereto, and BWCB SA LLC (an entity affiliated with Oberland Capital), as purchaser’s agent. The advanced principal accrues interest at a rate of 8.0% per annum. The first tranche of $50.0 million was advanced on August 5, 2024, with a maturity date of August 5, 2031, interest-only payments through August 5, 2031 and a lump sum payment due on August 5, 2031. The lump sum payment includes all of the outstanding principal plus a payment that would generate an internal rate of return ("IRR") for the purchasers of 10.0%. The term loan advances are secured by a lien on our assets.</w:t>
      </w:r>
    </w:p>
    <w:p>
      <w:pPr>
        <w:pStyle w:val="TextBody"/>
        <w:bidi w:val="0"/>
        <w:spacing w:lineRule="auto" w:line="288" w:before="120" w:after="160"/>
        <w:jc w:val="left"/>
        <w:rPr>
          <w:rFonts w:ascii="Arial;sans-serif" w:hAnsi="Arial;sans-serif"/>
          <w:b w:val="false"/>
          <w:color w:val="000000"/>
          <w:sz w:val="20"/>
        </w:rPr>
      </w:pPr>
      <w:r>
        <w:rPr>
          <w:rFonts w:ascii="Arial;sans-serif" w:hAnsi="Arial;sans-serif"/>
          <w:b w:val="false"/>
          <w:color w:val="000000"/>
          <w:sz w:val="20"/>
        </w:rPr>
        <w:t>We were required to sell a tranche of notes in the amount of $30.0 million prior to March 31, 2026 as we achieved the revenue and gross margin thresholds triggering this obligation on June 30, 2025 based on our results for the first half of 2025. The thresholds triggering this tranche were trailing six-month revenue of at least $112.5 million and a trailing six-month gross margin of at least 45%. The third tranche of $30.0 million was advanced on March 31, 2026, with a maturity date of August 5, 2031, interest-only payments through August 5, 2031 and a lump sum payment due on August 5, 2031. The terms of this tranche are identical to those of the first $50.0 million tranche. We did not elect the option to draw on the fourth tranche.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the option at any time to prepay all of the then-outstanding notes, and Oberland Capital has the option to redeem the notes upon a change in control of the Company, an event of default, or maturity. The repayment amount of the note shall equal: (1) 130% of the principal amount if the payment is made within 24 months of issuance; (2) 145% of the principal amount if the payment is made within 36 months of issuance; (3) if the payment is made within 48 months, an amount that would generate an IRR for the purchasers of 12.25%; (4) if the payment is made within 60 months of the issuance, an amount that would generate an IRR for the purchasers of 11.75%; (5) if the payment is made thereafter but prior to maturity, an amount that would generate an IRR for the purchasers of 11.25%; and (6) if the payment is made at maturity, an amount that would generate an IRR for the purchasers of 10.0%.</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Beginning with the fiscal quarter ended March 31, 2025, excluding any fiscal quarter in which our aggregate cash and cash equivalents is greater than 1.1 times the aggregate principal amount of the notes issued under the Note Purchase Agreement, we are required to maintain trailing six-month net revenue based on a schedule that gradually increases up to $120.0 million as of December 31, 2026, and a trailing six-month gross margin (as defined in the Note Purchase Agreement) of not less than 30%. As of March 31, 2026, we were in compliance with all financial covenants in the agreement. The Note Purchase Agreement also contains a revenue participation provision, under which, for any fiscal quarter, 0.01% of net revenue for such fiscal quarter (up to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in the preceding paragraph. Beginning with the fiscal year beginning January 1, 2025, we are required to make revenue participation payments under the Note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Cash flows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 (in thousands):</w:t>
      </w:r>
    </w:p>
    <w:tbl>
      <w:tblPr>
        <w:tblW w:w="6863" w:type="dxa"/>
        <w:jc w:val="left"/>
        <w:tblInd w:w="0" w:type="dxa"/>
        <w:tblLayout w:type="fixed"/>
        <w:tblCellMar>
          <w:top w:w="28" w:type="dxa"/>
          <w:left w:w="28" w:type="dxa"/>
          <w:bottom w:w="28" w:type="dxa"/>
          <w:right w:w="28" w:type="dxa"/>
        </w:tblCellMar>
      </w:tblPr>
      <w:tblGrid>
        <w:gridCol w:w="1614"/>
        <w:gridCol w:w="1415"/>
        <w:gridCol w:w="1425"/>
        <w:gridCol w:w="211"/>
        <w:gridCol w:w="751"/>
        <w:gridCol w:w="109"/>
        <w:gridCol w:w="109"/>
        <w:gridCol w:w="109"/>
        <w:gridCol w:w="109"/>
        <w:gridCol w:w="211"/>
        <w:gridCol w:w="64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three months ended March 31, 2026 was $15.4 million. Net income of $18.0 million included $12.0 million in non-cash charges primarily resulting from $6.5 million of stock-based compensation, $1.7 million of depreciation and amortization, $1.3 million of amortization of right-of-use assets, and aggregate $2.4 million of change in fair value of the common stock warrant liability and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Operating assets had outflows of $22.0 million primarily resulting from a $19.7 million increase in accounts receivable, driven partially by new agreements entered into with payors in 2026, $1.7 million increase in inventory and $0.7 million increase in prepaid expenses and other current assets, offset by a $0.1 million decrease in other non-current assets. Operating liabilities had inflows of $7.5 million primarily resulting from a $9.4 million increase in accounts payable and accrued expense balances, offset by a $1.2 million decrease in operating lease liabilities and $0.7 million decrease in deferred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 during the three months ended March 31, 2025 was $2.6 million. Net loss of $4.0 million included $7.1 million in non-cash charges primarily resulting from $2.4 million of stock-based compensation, $1.8 million of depreciation and amortization, $1.2 million of amortization of right-of-use assets, and aggregate $1.7 million of change in fair value of the common stock warrant liability, term loan and convertible notes. Operating assets had outflows of $8.0 million primarily resulting from a $4.9 million increase in accounts receivable, $3.3 million increase in inventory, and $0.3 million increase in other non-current assets, offset by a $0.5 million decrease in prepaid and other current assets. Operating liabilities had inflows of $7.5 million primarily resulting from an $8.7 million increase in accounts payable and accrued expense balances, offset by a $1.1 million decrease in operating lease liabilities and $0.2 million decrease in deferred revenue.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investing activities during the three months ended March 31, 2026 totaled $4.5 million due to purchases of property and equipment.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investing activities during the three months ended March 31, 2025 totaled $2.3 million due to purchases of property and equipment.</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provided by financing activities during the three months ended March 31, 2026 totaled $30.5 million which was comprised of $30.0 million from the draw of the third tranche of the Oberland Debt and $1.2 million in proceeds from the exercise of stock options, net of repurchases, offset by $0.5 million of payments of deferred offering costs, and $0.2 million of principal payments on finance lease liabilities.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financing activities during the three months ended March 31, 2025 totaled $0.2 million which was comprised of $0.5 million principal payments on finance lease liabilities, offset by $0.4 million in proceeds from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Contractual obligations and commitments</w:t>
      </w:r>
    </w:p>
    <w:p>
      <w:pPr>
        <w:pStyle w:val="TextBody"/>
        <w:bidi w:val="0"/>
        <w:spacing w:before="0" w:after="0"/>
        <w:jc w:val="left"/>
        <w:rPr/>
      </w:pPr>
      <w:r>
        <w:rPr/>
      </w:r>
    </w:p>
    <w:p>
      <w:pPr>
        <w:pStyle w:val="TextBody"/>
        <w:bidi w:val="0"/>
        <w:spacing w:lineRule="auto" w:line="288" w:before="0" w:after="160"/>
        <w:jc w:val="left"/>
        <w:rPr/>
      </w:pPr>
      <w:r>
        <w:rPr>
          <w:rFonts w:ascii="Arial;sans-serif" w:hAnsi="Arial;sans-serif"/>
          <w:b w:val="false"/>
          <w:i/>
          <w:color w:val="000000"/>
          <w:sz w:val="20"/>
        </w:rPr>
        <w:t>Operating lease commitments.</w:t>
      </w:r>
      <w:r>
        <w:rPr>
          <w:color w:val="000000"/>
        </w:rPr>
        <w:t xml:space="preserve"> </w:t>
      </w:r>
      <w:r>
        <w:rPr>
          <w:rFonts w:ascii="Arial;sans-serif" w:hAnsi="Arial;sans-serif"/>
          <w:b w:val="false"/>
          <w:color w:val="000000"/>
          <w:sz w:val="20"/>
        </w:rPr>
        <w:t>Our operating lease commitments primarily include our labs and corporate offices. As of March 31, 2026, we had fixed lease payment obligations of $70.0 million, with $10.0 million to be paid within 12 months and the remainder thereafter.</w:t>
      </w:r>
    </w:p>
    <w:p>
      <w:pPr>
        <w:pStyle w:val="TextBody"/>
        <w:bidi w:val="0"/>
        <w:spacing w:lineRule="auto" w:line="288" w:before="0" w:after="160"/>
        <w:jc w:val="left"/>
        <w:rPr/>
      </w:pPr>
      <w:r>
        <w:rPr>
          <w:rFonts w:ascii="Arial;sans-serif" w:hAnsi="Arial;sans-serif"/>
          <w:b w:val="false"/>
          <w:i/>
          <w:color w:val="000000"/>
          <w:sz w:val="20"/>
        </w:rPr>
        <w:t>Finance lease commitments.</w:t>
      </w:r>
      <w:r>
        <w:rPr>
          <w:color w:val="000000"/>
        </w:rPr>
        <w:t xml:space="preserve"> </w:t>
      </w:r>
      <w:r>
        <w:rPr>
          <w:rFonts w:ascii="Arial;sans-serif" w:hAnsi="Arial;sans-serif"/>
          <w:b w:val="false"/>
          <w:color w:val="000000"/>
          <w:sz w:val="20"/>
        </w:rPr>
        <w:t>Our finance lease commitments primarily relate to equipment used in our labs. As of March 31, 2026, we had fixed lease payment obligations of $0.7 million, with $0.4 million to be paid within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before="0" w:after="0"/>
        <w:jc w:val="left"/>
        <w:rPr/>
      </w:pPr>
      <w:r>
        <w:rPr/>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Critical accounting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prepare our financial statements in conformity with GAAP. The preparation of financial statements in conformity with GAAP required certain estimates and assumptions to be made that may affect our financial statements. Accounting policies that have a significant impact on our results are described in Note 2 to our financial statements included in Item 1 in this Quarterly Report. We consider an accounting policy to be critical if the policy is subject to a material level of judgment and if changes in those judgments are reasonably likely to materially impact our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continue to monitor and assess our critical estimates in light of developments, and as new events occur and additional information is obtained, our estimates may change materially in future periods.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a discussion of our critical accounting estimates, please refer to Item 7 under Part II, “Management’s Discussion and Analysis of Financial Condition and Results of Operations” in our Annual Report on Form 10-K for the year ended December 31, 2025. Since December 31, 2025, there have been no material changes to our other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See Note 2 of our financial statements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Emerging growth company status</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until the earlier of the date we (i) qualify for treatment as an emerging growth company or (ii) affirmatively and irrevocably opt out of the extended transition period provided for emerging growth companies.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3. Quantitative And Qualitative Disclosures About Market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inflation and foreign currency exchange rates.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are exposed to market risk for changes in interest rates related primarily to our cash and cash equivalents and our indebtedness. As of March 31, 2026 and December 31, 2025, we had cash and cash equivalents of $537.5 million and $496.0 million, respectively, held primarily in cash deposits and money market funds. As of March 31, 2026, we had a net balance of $90.0 million outstanding under our Oberland Capital Note Purchase Agreement, which is subject to quarterly interest payments. A hypothetical 100 basis point increase or decrease in interest rates would not be material to our financial condition or results of operations.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Foreign currency exchange rate fluctuations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operations are currently conducted almost entirely in the United States as international markets represented less than 1% of our revenue during the three months ended March 31, 2026. If we choose to expand internationally, our results of operations and cash flows may become subject to fluctuations due to changes in foreign currency exchange rates. In periods when the U.S. dollar declines in value as compared to the foreign currencies in which we incur expenses, our foreign currency based expenses would increase when translated into U.S. dollars. In addition, future fluctuations in the value of the U.S. dollar may affect the price at which we sell our tests outside the United States. To date, our foreign currency risk has been minimal. As of March 31, 2026, the effect of a hypothetical 10% change in foreign currency exchange rates would not be material to our financial condition or results of operations. To date, we have not entered into any hedging arrangements with respect to foreign currency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Item 4. Controls and Procedures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not effective at the reasonable assurance level as of March 31, 2026 due to the material weaknesses in our internal control over financial reporting as described below.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performed additional procedures, including supplementary analyses and enhanced review procedures, to provide reasonable assurance regarding the reliability of the financial statements. Notwithstanding the material weaknesses and based on the additional analyses and procedures performed, Management has concluded that the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previously reported material weaknesses in our internal control over financial reporting, and they remained unremediated as of March 31, 2026, relating to the following:</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color w:val="000000"/>
          <w:sz w:val="20"/>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did not design and maintain effective user access controls to ensure appropriate segregation of duties and to adequately restrict user and privileged access to appropriate personnel in creating and posting journal entries.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These material weaknesses, other than that related to user and privileged access controls, resulted in immaterial adjustments to the December 31, 2024 and 2023 financial statements. Additionally, these material weaknesses could result in a misstatement of account balances or disclosures that would result in a material misstatement to the annual or interim financial statements that would not be prevented or detected.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Remediation Efforts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continue to make progress towards remediating these material weaknesses. These remediation measures are ongoing as of the date of this Form 10-Q and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engaging third parties to assist with technical accounting matters and designing and implementing controls;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hiring additional personnel, such as accounting, finance, information technology staff and other professionals with appropriate levels of knowledge and experience and designing and implementing controls to ensure appropriate segregation of duties in our finance and accounting functions;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designing and implementing controls over user access, including restrictions over privileged access as it relates to creating and posting journal entries;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designing and implementing controls to properly analyze, account for, present and disclose certain financial instruments transactions.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implemented, and operational for a sufficient period of time, and management concludes, through testing, that these controls are operating effectively. Accordingly, the material weaknesses were not remediated as of March 31,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remain committed to remediating the material weaknesses and management, with the oversight of our Audit Committee, has devoted and will continue to devote considerable effort to remediate the material weaknesses identified above.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(as defined in Rules 13a-15(f) and 15d-15(f) under the Exchange Act) during the period covered by this Quarterly Report on Form 10-Q that has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1. Legal Proceedings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From time to time, we are involved in legal claims, regulatory investigations, inquiries, proceedings and other legal matters arising from the normal course of business and typical for our industry. Although no formal legal proceeding has been instituted, from time to time, we receive requests from governmental agencies, or third parties working on their behalf, for documents and information related to our products. 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Litigation or any other legal, regulatory or administrative proceedings, regardless of the outcome, can result in substantial cost and diversion of our resources, including our management’s time and attention, and there can be no assurances that favorable final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1A. Risk Factors</w:t>
      </w:r>
    </w:p>
    <w:p>
      <w:pPr>
        <w:pStyle w:val="TextBody"/>
        <w:bidi w:val="0"/>
        <w:spacing w:lineRule="auto" w:line="268" w:before="160" w:after="160"/>
        <w:jc w:val="left"/>
        <w:rPr>
          <w:rFonts w:ascii="Arial;sans-serif" w:hAnsi="Arial;sans-serif"/>
          <w:b w:val="false"/>
          <w:color w:val="000000"/>
          <w:sz w:val="20"/>
        </w:rPr>
      </w:pPr>
      <w:r>
        <w:rPr>
          <w:rFonts w:ascii="Arial;sans-serif" w:hAnsi="Arial;sans-serif"/>
          <w:b w:val="false"/>
          <w:color w:val="000000"/>
          <w:sz w:val="20"/>
        </w:rPr>
        <w:t>Investing in our Class A common stock involves a high degree of risk. In addition to the information set forth in this Quarterly Report on Form 10-Q, including the section titled “Management’s Discussion and Analysis of Financial Condition and Results of Operations” and our consolidated financial statements and related notes, you should consider carefully the factors discussed in Part I, Item 1A, “Risk Factors” in our Annual Report on Form 10-K for the year ended December 31, 2025 filed with the Securities and Exchange Commission on March 11, 2026. The occurrence of any of the risks and uncertainties described in such Annual Report could materially and adversely affect our business, financial condition, results of operations and prospects. In that event, the price of our Class A common stock could decline and you could lose part or all of your investment. Furthermore, such risks are not the only ones we face; additional risks and uncertainties not currently known or that we currently deem to be immaterial may also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2. Unregistered Sales Of Equity Securities And Use Of Proceeds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Use of proceeds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November 7, 2025, we closed our IPO in which we issued and sold 5,233,765 shares of our Class A common stock, which included the exercise in full by the underwriters of their option to purchase 682,665 shares of our Class A common stock, at a price to the public of $60.00 per share. All shares sold were registered pursuant to a registration statement on Form S-1 (File No. 333-290761), as amended, which became effective on November 5, 2025. There has been no material change in the expected use of the net proceeds from our IPO as described in the final prospectus dated as of November 5, 2025 and filed with the SEC pursuant to Rule 424(b)(4) on November 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3. Defaults Upon Senior Securities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4. Mine Safety Disclosures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5. Other Information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Disclosure of Trading Arrangements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During the fiscal quarter ended March 31, 2026, none of our directors or officers (as defined in Rule 16a-1(f) under the Exchange Act) adopted or terminated a “Rule 10b5-1 trading arrangement” or a “non-Rule 10b5-1 trading arrangement,” as each term is defined in Item 408 of Regulation S-K, except as described in the paragraphs below.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March 6, 2026, John ten Bosch, our Senior Vice President of Laboratory Operations, entered into a pre-arranged stock trading plan. Such trading plan is intended to satisfy the affirmative defense of Rule 10b5-1(c) under the Exchange Act. Mr. ten Bosch’s plan provides for, subject to certain market price limits and other terms set forth in the plan, the sale of up to 12,750 shares of Class A common stock between June 15, 2026 and August 28, 2026.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March 6, 2026, Nancy Johnson, our Senior Vice President of Sales and Commercial Operations, entered into a pre-arranged stock trading plan. Such trading plan is intended to satisfy the affirmative defense of Rule 10b5-1(c) under the Exchange Act. Ms. Johnson’s plan provides for, subject to certain market price limits and other terms set forth in the plan, (a) the sale of up to 29,000 shares of Class A common stock, and (b) the exercise of up to 30,000 stock options and sale of the underlying shares of Class A common stock, between June 8, 2026 and August 31, 2026.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March 6, 2026, Shan Riku Sakakibara, our Chief Product Officer, entered into a pre-arranged stock trading plan. Such trading plan is intended to satisfy the affirmative defense of Rule 10b5-1(c) under the Exchange Act. Ms. Sakakibara’s plan provides for, subject to certain market price limits and other terms set forth in the plan, (a) the sale of up to 20,000 shares of Class A common stock, and (b) the exercise of up to 8,000 stock options and sale of the underlying shares of Class A common stock, between June 8, 2026 and August 31,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March 6, 2026, David Tsao, our President, Chief Technology Officer and Director, entered into a pre-arranged stock trading plan. Such trading plan is intended to satisfy the affirmative defense of Rule 10b5-1(c) under the Exchange Act. Mr. Tsao’s plan provides for, subject to certain market price limits and other terms set forth in the plan, the exercise of up to 60,000 stock options and sale of the underlying shares of Class A common stock, between June 15, 2026 and August 28,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March 6, 2026, Oguzhan Atay, our Chief Executive Officer and the Chair of our Board of Directors, entered into a pre-arranged stock trading plan. Such trading plan is intended to satisfy the affirmative defense of Rule 10b5-1(c) under the Exchange Act. Mr. Atay’s plan provides for, subject to certain market price limits and other terms set forth in the plan, the exercise of up to 120,000 stock options and sale of the underlying shares of Class A common stock, between June 8, 2026 and August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 xml:space="preserve">Item 6. Exhibits </w:t>
      </w:r>
    </w:p>
    <w:p>
      <w:pPr>
        <w:pStyle w:val="TextBody"/>
        <w:bidi w:val="0"/>
        <w:spacing w:lineRule="auto" w:line="288" w:before="160" w:after="283"/>
        <w:jc w:val="left"/>
        <w:rPr>
          <w:rFonts w:ascii="Arial;sans-serif" w:hAnsi="Arial;sans-serif"/>
          <w:b/>
          <w:color w:val="000000"/>
          <w:sz w:val="24"/>
        </w:rPr>
      </w:pPr>
      <w:r>
        <w:rPr>
          <w:rFonts w:ascii="Arial;sans-serif" w:hAnsi="Arial;sans-serif"/>
          <w:b/>
          <w:color w:val="000000"/>
          <w:sz w:val="24"/>
        </w:rPr>
        <w:t>(a)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
        <w:gridCol w:w="246"/>
        <w:gridCol w:w="247"/>
        <w:gridCol w:w="1751"/>
        <w:gridCol w:w="1359"/>
        <w:gridCol w:w="1363"/>
        <w:gridCol w:w="175"/>
        <w:gridCol w:w="175"/>
        <w:gridCol w:w="176"/>
        <w:gridCol w:w="275"/>
        <w:gridCol w:w="275"/>
        <w:gridCol w:w="210"/>
        <w:gridCol w:w="323"/>
        <w:gridCol w:w="323"/>
        <w:gridCol w:w="325"/>
        <w:gridCol w:w="413"/>
        <w:gridCol w:w="413"/>
        <w:gridCol w:w="397"/>
        <w:gridCol w:w="430"/>
        <w:gridCol w:w="430"/>
        <w:gridCol w:w="619"/>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 of Exhibit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 No.</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Number</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Filing Date</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or Furnished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w:t>
            </w:r>
          </w:p>
        </w:tc>
        <w:tc>
          <w:tcPr>
            <w:tcW w:w="44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Arial;sans-serif" w:hAnsi="Arial;sans-serif"/>
                  <w:b w:val="false"/>
                  <w:color w:val="0000FF"/>
                  <w:sz w:val="18"/>
                  <w:u w:val="single"/>
                </w:rPr>
                <w:t>Amended and Restated Certificate of Incorporation of the Registrant</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November 10, 2025</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w:t>
            </w:r>
          </w:p>
        </w:tc>
        <w:tc>
          <w:tcPr>
            <w:tcW w:w="44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18"/>
                  <w:u w:val="single"/>
                </w:rPr>
                <w:t>Amended and Restated Bylaws of Registrant</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November 10, 2025</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44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18"/>
                  <w:u w:val="single"/>
                </w:rPr>
                <w:t>Amendment No. 2 to Development and Commercialization Agreement with Janssen Biotech, Inc., dated January 6, 2026</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7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March 11, 2026</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10.2+</w:t>
            </w:r>
          </w:p>
        </w:tc>
        <w:tc>
          <w:tcPr>
            <w:tcW w:w="44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Arial;sans-serif" w:hAnsi="Arial;sans-serif"/>
                  <w:b w:val="false"/>
                  <w:color w:val="0000FF"/>
                  <w:sz w:val="18"/>
                  <w:u w:val="single"/>
                </w:rPr>
                <w:t>Annual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7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March 11, 2026</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44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11-fy2026q1.htm">
              <w:r>
                <w:rPr>
                  <w:rStyle w:val="InternetLink"/>
                  <w:rFonts w:ascii="Arial;sans-serif" w:hAnsi="Arial;sans-serif"/>
                  <w:b w:val="false"/>
                  <w:color w:val="0000FF"/>
                  <w:sz w:val="18"/>
                  <w:u w:val="single"/>
                </w:rPr>
                <w:t>Certification of Chief Executive Officer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a032e074c3e4dc49ffad10ff6bf1ae3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15"/>
        <w:gridCol w:w="217"/>
        <w:gridCol w:w="2608"/>
        <w:gridCol w:w="2608"/>
        <w:gridCol w:w="2614"/>
        <w:gridCol w:w="109"/>
        <w:gridCol w:w="109"/>
        <w:gridCol w:w="109"/>
        <w:gridCol w:w="109"/>
        <w:gridCol w:w="109"/>
        <w:gridCol w:w="109"/>
        <w:gridCol w:w="109"/>
        <w:gridCol w:w="109"/>
        <w:gridCol w:w="109"/>
        <w:gridCol w:w="109"/>
        <w:gridCol w:w="109"/>
        <w:gridCol w:w="109"/>
        <w:gridCol w:w="109"/>
        <w:gridCol w:w="109"/>
        <w:gridCol w:w="157"/>
      </w:tblGrid>
      <w:tr>
        <w:trPr/>
        <w:tc>
          <w:tcPr>
            <w:tcW w:w="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12-fy2026q1.htm">
              <w:r>
                <w:rPr>
                  <w:rStyle w:val="InternetLink"/>
                  <w:rFonts w:ascii="Arial;sans-serif" w:hAnsi="Arial;sans-serif"/>
                  <w:b w:val="false"/>
                  <w:color w:val="0000FF"/>
                  <w:sz w:val="18"/>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21-fy2026q1.htm">
              <w:r>
                <w:rPr>
                  <w:rStyle w:val="InternetLink"/>
                  <w:rFonts w:ascii="Arial;sans-serif" w:hAnsi="Arial;sans-serif"/>
                  <w:b w:val="false"/>
                  <w:color w:val="0000FF"/>
                  <w:sz w:val="18"/>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22-fy2026q1.htm">
              <w:r>
                <w:rPr>
                  <w:rStyle w:val="InternetLink"/>
                  <w:rFonts w:ascii="Arial;sans-serif" w:hAnsi="Arial;sans-serif"/>
                  <w:b w:val="false"/>
                  <w:color w:val="0000FF"/>
                  <w:sz w:val="18"/>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0"/>
        <w:jc w:val="left"/>
        <w:rPr/>
      </w:pPr>
      <w:r>
        <w:rPr>
          <w:rFonts w:ascii="Arial;sans-serif" w:hAnsi="Arial;sans-serif"/>
          <w:b w:val="false"/>
          <w:color w:val="000000"/>
          <w:sz w:val="18"/>
        </w:rPr>
        <w:t xml:space="preserve">+ </w:t>
      </w:r>
      <w:r>
        <w:rPr>
          <w:rFonts w:ascii="Arial;sans-serif" w:hAnsi="Arial;sans-serif"/>
          <w:b w:val="false"/>
          <w:color w:val="000000"/>
          <w:sz w:val="15"/>
        </w:rPr>
        <w:t>Indicates a management contract or compensatory plan or arrangement.</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6a032e074c3e4dc49ffad10ff6bf1ae3_7">
        <w:r>
          <w:rPr>
            <w:rStyle w:val="InternetLink"/>
            <w:rFonts w:ascii="Arial;sans-serif" w:hAnsi="Arial;sans-serif"/>
            <w:b/>
            <w:color w:val="0000FF"/>
            <w:sz w:val="20"/>
            <w:u w:val="single"/>
          </w:rPr>
          <w:t>Table of Contents</w:t>
        </w:r>
      </w:hyperlink>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Registration Statement to be signed on its behalf by the undersigned, thereunto duly authorized.</w:t>
      </w:r>
    </w:p>
    <w:p>
      <w:pPr>
        <w:pStyle w:val="TextBody"/>
        <w:bidi w:val="0"/>
        <w:spacing w:before="0" w:after="160"/>
        <w:jc w:val="left"/>
        <w:rPr/>
      </w:pPr>
      <w:r>
        <w:rPr/>
      </w:r>
    </w:p>
    <w:tbl>
      <w:tblPr>
        <w:tblW w:w="6814" w:type="dxa"/>
        <w:jc w:val="left"/>
        <w:tblInd w:w="0" w:type="dxa"/>
        <w:tblLayout w:type="fixed"/>
        <w:tblCellMar>
          <w:top w:w="28" w:type="dxa"/>
          <w:left w:w="28" w:type="dxa"/>
          <w:bottom w:w="28" w:type="dxa"/>
          <w:right w:w="28" w:type="dxa"/>
        </w:tblCellMar>
      </w:tblPr>
      <w:tblGrid>
        <w:gridCol w:w="624"/>
        <w:gridCol w:w="547"/>
        <w:gridCol w:w="553"/>
        <w:gridCol w:w="196"/>
        <w:gridCol w:w="196"/>
        <w:gridCol w:w="196"/>
        <w:gridCol w:w="196"/>
        <w:gridCol w:w="196"/>
        <w:gridCol w:w="196"/>
        <w:gridCol w:w="1146"/>
        <w:gridCol w:w="1146"/>
        <w:gridCol w:w="1622"/>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BillionToOne, Inc.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By:</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Oguzhan Atay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p>
        </w:tc>
        <w:tc>
          <w:tcPr>
            <w:tcW w:w="5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Oguzhan Atay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By:</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Ross Taylor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Ross Taylor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16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Oguzhan Atay, certify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BillionToOne, Inc.;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[Omitted];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49"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34"/>
        <w:gridCol w:w="134"/>
        <w:gridCol w:w="136"/>
        <w:gridCol w:w="755"/>
        <w:gridCol w:w="755"/>
        <w:gridCol w:w="108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Oguzhan Atay</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Oguzhan Atay</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Arial;sans-serif" w:hAnsi="Arial;sans-serif"/>
          <w:b/>
          <w:color w:val="000000"/>
          <w:sz w:val="20"/>
        </w:rPr>
        <w:t>Exhibit 31.2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0.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Ross Taylor, certify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BillionToOne, Inc.;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[Omitted];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70"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34"/>
        <w:gridCol w:w="134"/>
        <w:gridCol w:w="136"/>
        <w:gridCol w:w="1144"/>
        <w:gridCol w:w="1144"/>
        <w:gridCol w:w="1627"/>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Ross Taylor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Ross Taylor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BillionToOne,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jc w:val="left"/>
        <w:rPr/>
      </w:pPr>
      <w:r>
        <w:rPr/>
      </w:r>
    </w:p>
    <w:tbl>
      <w:tblPr>
        <w:tblW w:w="5049"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34"/>
        <w:gridCol w:w="134"/>
        <w:gridCol w:w="136"/>
        <w:gridCol w:w="755"/>
        <w:gridCol w:w="755"/>
        <w:gridCol w:w="108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Oguzhan Atay</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Oguzhan Atay</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BillionToOne,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jc w:val="left"/>
        <w:rPr/>
      </w:pPr>
      <w:r>
        <w:rPr/>
      </w:r>
    </w:p>
    <w:tbl>
      <w:tblPr>
        <w:tblW w:w="6370"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34"/>
        <w:gridCol w:w="134"/>
        <w:gridCol w:w="136"/>
        <w:gridCol w:w="1144"/>
        <w:gridCol w:w="1144"/>
        <w:gridCol w:w="1627"/>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Ross Taylor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Ross Taylor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70849/000119312525274195/d59194dex31.htm" TargetMode="External"/><Relationship Id="rId3" Type="http://schemas.openxmlformats.org/officeDocument/2006/relationships/hyperlink" Target="https://www.sec.gov/Archives/edgar/data/2070849/000119312525274195/d59194dex32.htm" TargetMode="External"/><Relationship Id="rId4" Type="http://schemas.openxmlformats.org/officeDocument/2006/relationships/hyperlink" Target="https://www.sec.gov/Archives/edgar/data/2070849/000207084926000017/a109-amendmentno2todevelop.htm" TargetMode="External"/><Relationship Id="rId5" Type="http://schemas.openxmlformats.org/officeDocument/2006/relationships/hyperlink" Target="https://www.sec.gov/Archives/edgar/data/2070849/000207084926000017/a1020-annualincentivepla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22272</Words>
  <Characters>121781</Characters>
  <CharactersWithSpaces>142730</CharactersWithSpaces>
  <Paragraphs>1845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